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A37C39">
        <w:rPr>
          <w:b/>
          <w:sz w:val="24"/>
        </w:rPr>
        <w:t>January 17,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431AAF">
        <w:trPr>
          <w:trHeight w:val="53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676EC1" w:rsidRDefault="00676EC1" w:rsidP="00676EC1">
            <w:pPr>
              <w:pStyle w:val="TableParagraph"/>
              <w:spacing w:line="240" w:lineRule="auto"/>
              <w:ind w:left="2328" w:right="1599" w:hanging="2"/>
              <w:jc w:val="center"/>
              <w:rPr>
                <w:sz w:val="20"/>
              </w:rPr>
            </w:pPr>
            <w:r>
              <w:rPr>
                <w:b/>
                <w:sz w:val="20"/>
              </w:rPr>
              <w:t xml:space="preserve">Opening Day; January 13, 2025 </w:t>
            </w:r>
            <w:r w:rsidR="002F2D8D">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been</w:t>
      </w:r>
      <w:r>
        <w:rPr>
          <w:i/>
          <w:color w:val="252525"/>
          <w:spacing w:val="-6"/>
          <w:sz w:val="20"/>
          <w:highlight w:val="yellow"/>
        </w:rPr>
        <w:t xml:space="preserv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676EC1"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F56717" w:rsidRPr="00910D71" w:rsidRDefault="00F56717" w:rsidP="00F56717">
      <w:pPr>
        <w:pStyle w:val="BodyText"/>
        <w:spacing w:before="2"/>
        <w:ind w:left="480"/>
        <w:rPr>
          <w:color w:val="FF0000"/>
          <w:sz w:val="22"/>
          <w:szCs w:val="22"/>
        </w:rPr>
      </w:pPr>
      <w:r w:rsidRPr="00910D71">
        <w:rPr>
          <w:color w:val="FF0000"/>
          <w:sz w:val="22"/>
          <w:szCs w:val="22"/>
        </w:rPr>
        <w:t>202</w:t>
      </w:r>
      <w:r w:rsidR="00676EC1" w:rsidRPr="00910D71">
        <w:rPr>
          <w:color w:val="FF0000"/>
          <w:sz w:val="22"/>
          <w:szCs w:val="22"/>
        </w:rPr>
        <w:t>5-01-15</w:t>
      </w:r>
      <w:r w:rsidR="00676EC1" w:rsidRPr="00910D71">
        <w:rPr>
          <w:color w:val="FF0000"/>
          <w:sz w:val="22"/>
          <w:szCs w:val="22"/>
        </w:rPr>
        <w:tab/>
        <w:t>Senate – Second Read</w:t>
      </w:r>
    </w:p>
    <w:p w:rsidR="00F56717" w:rsidRPr="00910D71" w:rsidRDefault="00952F99" w:rsidP="00F56717">
      <w:pPr>
        <w:pStyle w:val="BodyText"/>
        <w:spacing w:before="2"/>
        <w:ind w:left="480"/>
        <w:rPr>
          <w:color w:val="FF0000"/>
          <w:sz w:val="22"/>
          <w:szCs w:val="22"/>
        </w:rPr>
      </w:pPr>
      <w:r w:rsidRPr="00910D71">
        <w:rPr>
          <w:color w:val="FF0000"/>
          <w:sz w:val="22"/>
          <w:szCs w:val="22"/>
        </w:rPr>
        <w:t>2025-01-14</w:t>
      </w:r>
      <w:r w:rsidR="00676EC1" w:rsidRPr="00910D71">
        <w:rPr>
          <w:color w:val="FF0000"/>
          <w:sz w:val="22"/>
          <w:szCs w:val="22"/>
        </w:rPr>
        <w:tab/>
        <w:t>Senate – First Read</w:t>
      </w:r>
    </w:p>
    <w:p w:rsidR="00A37C39" w:rsidRPr="00952F99" w:rsidRDefault="00A37C39" w:rsidP="00F56717">
      <w:pPr>
        <w:pStyle w:val="BodyText"/>
        <w:pBdr>
          <w:bottom w:val="single" w:sz="12" w:space="1" w:color="auto"/>
        </w:pBdr>
        <w:spacing w:before="2"/>
        <w:ind w:left="480"/>
        <w:rPr>
          <w:color w:val="000000" w:themeColor="text1"/>
          <w:sz w:val="24"/>
          <w:szCs w:val="24"/>
        </w:rPr>
      </w:pPr>
    </w:p>
    <w:p w:rsidR="00676EC1" w:rsidRDefault="00676EC1" w:rsidP="00F56717">
      <w:pPr>
        <w:widowControl/>
        <w:autoSpaceDE/>
        <w:autoSpaceDN/>
        <w:ind w:firstLine="480"/>
      </w:pPr>
    </w:p>
    <w:p w:rsidR="00676EC1" w:rsidRPr="00676EC1" w:rsidRDefault="00676EC1" w:rsidP="00676EC1">
      <w:pPr>
        <w:widowControl/>
        <w:autoSpaceDE/>
        <w:autoSpaceDN/>
        <w:ind w:firstLine="480"/>
        <w:rPr>
          <w:rFonts w:eastAsia="Times New Roman"/>
          <w:color w:val="1E1B1D"/>
        </w:rPr>
      </w:pPr>
      <w:hyperlink r:id="rId12" w:history="1">
        <w:r w:rsidRPr="00676EC1">
          <w:rPr>
            <w:rFonts w:ascii="Calibri" w:eastAsia="Times New Roman" w:hAnsi="Calibri" w:cs="Calibri"/>
            <w:color w:val="0563C1"/>
            <w:u w:val="single"/>
          </w:rPr>
          <w:t>SB1021</w:t>
        </w:r>
      </w:hyperlink>
      <w:r>
        <w:rPr>
          <w:rFonts w:ascii="Calibri" w:eastAsia="Times New Roman" w:hAnsi="Calibri" w:cs="Calibri"/>
          <w:color w:val="0563C1"/>
        </w:rPr>
        <w:tab/>
      </w:r>
      <w:r>
        <w:rPr>
          <w:rFonts w:ascii="Calibri" w:eastAsia="Times New Roman" w:hAnsi="Calibri" w:cs="Calibri"/>
          <w:color w:val="0563C1"/>
        </w:rPr>
        <w:tab/>
      </w:r>
      <w:r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676EC1" w:rsidRPr="00910D71" w:rsidRDefault="00676EC1" w:rsidP="00676EC1">
      <w:pPr>
        <w:pStyle w:val="BodyText"/>
        <w:spacing w:before="2"/>
        <w:ind w:left="480"/>
        <w:rPr>
          <w:color w:val="FF0000"/>
          <w:sz w:val="22"/>
          <w:szCs w:val="22"/>
        </w:rPr>
      </w:pPr>
      <w:r w:rsidRPr="00910D71">
        <w:rPr>
          <w:color w:val="FF0000"/>
          <w:sz w:val="22"/>
          <w:szCs w:val="22"/>
        </w:rPr>
        <w:t>2025-01-15</w:t>
      </w:r>
      <w:r w:rsidRPr="00910D71">
        <w:rPr>
          <w:color w:val="FF0000"/>
          <w:sz w:val="22"/>
          <w:szCs w:val="22"/>
        </w:rPr>
        <w:tab/>
        <w:t>Senate – Second Read</w:t>
      </w:r>
    </w:p>
    <w:p w:rsidR="00676EC1" w:rsidRPr="00910D71" w:rsidRDefault="00676EC1" w:rsidP="00676EC1">
      <w:pPr>
        <w:pStyle w:val="BodyText"/>
        <w:spacing w:before="2"/>
        <w:ind w:left="480"/>
        <w:rPr>
          <w:color w:val="FF0000"/>
          <w:sz w:val="22"/>
          <w:szCs w:val="22"/>
        </w:rPr>
      </w:pPr>
      <w:r w:rsidRPr="00910D71">
        <w:rPr>
          <w:color w:val="FF0000"/>
          <w:sz w:val="22"/>
          <w:szCs w:val="22"/>
        </w:rPr>
        <w:t>2025-01-14</w:t>
      </w:r>
      <w:r w:rsidRPr="00910D71">
        <w:rPr>
          <w:color w:val="FF0000"/>
          <w:sz w:val="22"/>
          <w:szCs w:val="22"/>
        </w:rPr>
        <w:tab/>
        <w:t>Senate – First Read</w:t>
      </w:r>
    </w:p>
    <w:p w:rsidR="00F56717" w:rsidRDefault="00F56717" w:rsidP="00F56717">
      <w:pPr>
        <w:pStyle w:val="BodyText"/>
        <w:spacing w:before="2"/>
        <w:ind w:left="480"/>
      </w:pPr>
      <w:r>
        <w:lastRenderedPageBreak/>
        <w:t>______________________________________________________________________________</w:t>
      </w:r>
    </w:p>
    <w:p w:rsidR="006D657C" w:rsidRDefault="006D657C" w:rsidP="00F56717">
      <w:pPr>
        <w:pStyle w:val="BodyText"/>
        <w:spacing w:before="2"/>
        <w:ind w:left="480"/>
      </w:pPr>
    </w:p>
    <w:p w:rsidR="00C02BCE" w:rsidRPr="00C02BCE" w:rsidRDefault="00C02BCE" w:rsidP="00C02BCE">
      <w:pPr>
        <w:widowControl/>
        <w:autoSpaceDE/>
        <w:autoSpaceDN/>
        <w:ind w:firstLine="480"/>
        <w:rPr>
          <w:rFonts w:eastAsia="Times New Roman"/>
          <w:color w:val="1E1B1D"/>
        </w:rPr>
      </w:pPr>
      <w:hyperlink r:id="rId13" w:history="1">
        <w:r w:rsidRPr="00C02BCE">
          <w:rPr>
            <w:rFonts w:ascii="Calibri" w:eastAsia="Times New Roman" w:hAnsi="Calibri" w:cs="Calibri"/>
            <w:color w:val="0563C1"/>
            <w:u w:val="single"/>
          </w:rPr>
          <w:t>SB1043</w:t>
        </w:r>
      </w:hyperlink>
      <w:r>
        <w:rPr>
          <w:rFonts w:ascii="Calibri" w:eastAsia="Times New Roman" w:hAnsi="Calibri" w:cs="Calibri"/>
          <w:color w:val="0563C1"/>
        </w:rPr>
        <w:tab/>
      </w:r>
      <w:r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910D71" w:rsidRDefault="00C02BCE" w:rsidP="00C02BCE">
      <w:pPr>
        <w:pStyle w:val="BodyText"/>
        <w:spacing w:before="2"/>
        <w:ind w:left="480"/>
        <w:rPr>
          <w:color w:val="FF0000"/>
          <w:sz w:val="22"/>
          <w:szCs w:val="22"/>
        </w:rPr>
      </w:pPr>
      <w:r w:rsidRPr="00910D71">
        <w:rPr>
          <w:color w:val="FF0000"/>
          <w:sz w:val="22"/>
          <w:szCs w:val="22"/>
        </w:rPr>
        <w:t>2025-01-15</w:t>
      </w:r>
      <w:r w:rsidRPr="00910D71">
        <w:rPr>
          <w:color w:val="FF0000"/>
          <w:sz w:val="22"/>
          <w:szCs w:val="22"/>
        </w:rPr>
        <w:tab/>
        <w:t>Senate – Second Read</w:t>
      </w:r>
    </w:p>
    <w:p w:rsidR="00C02BCE" w:rsidRPr="00910D71" w:rsidRDefault="00C02BCE" w:rsidP="00C02BCE">
      <w:pPr>
        <w:pStyle w:val="BodyText"/>
        <w:spacing w:before="2"/>
        <w:ind w:left="480"/>
        <w:rPr>
          <w:color w:val="FF0000"/>
          <w:sz w:val="22"/>
          <w:szCs w:val="22"/>
        </w:rPr>
      </w:pPr>
      <w:r w:rsidRPr="00910D71">
        <w:rPr>
          <w:color w:val="FF0000"/>
          <w:sz w:val="22"/>
          <w:szCs w:val="22"/>
        </w:rPr>
        <w:t>2025-01-14</w:t>
      </w:r>
      <w:r w:rsidRPr="00910D71">
        <w:rPr>
          <w:color w:val="FF0000"/>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F56717" w:rsidRDefault="00F56717" w:rsidP="00F56717">
      <w:pPr>
        <w:widowControl/>
        <w:autoSpaceDE/>
        <w:autoSpaceDN/>
        <w:ind w:firstLine="480"/>
      </w:pPr>
    </w:p>
    <w:p w:rsidR="00C02BCE" w:rsidRPr="00C02BCE" w:rsidRDefault="00C02BCE" w:rsidP="00C02BCE">
      <w:pPr>
        <w:widowControl/>
        <w:autoSpaceDE/>
        <w:autoSpaceDN/>
        <w:ind w:firstLine="480"/>
        <w:rPr>
          <w:rFonts w:eastAsia="Times New Roman"/>
          <w:color w:val="1E1B1D"/>
        </w:rPr>
      </w:pPr>
      <w:hyperlink r:id="rId14" w:history="1">
        <w:r w:rsidRPr="00C02BCE">
          <w:rPr>
            <w:rFonts w:ascii="Calibri" w:eastAsia="Times New Roman" w:hAnsi="Calibri" w:cs="Calibri"/>
            <w:color w:val="0563C1"/>
            <w:u w:val="single"/>
          </w:rPr>
          <w:t>SB1047</w:t>
        </w:r>
      </w:hyperlink>
      <w:r>
        <w:rPr>
          <w:rFonts w:ascii="Calibri" w:eastAsia="Times New Roman" w:hAnsi="Calibri" w:cs="Calibri"/>
          <w:color w:val="0563C1"/>
        </w:rPr>
        <w:tab/>
      </w:r>
      <w:r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C02BCE" w:rsidRPr="00910D71" w:rsidRDefault="00C02BCE" w:rsidP="00C02BCE">
      <w:pPr>
        <w:pStyle w:val="BodyText"/>
        <w:spacing w:before="2"/>
        <w:ind w:left="480"/>
        <w:rPr>
          <w:color w:val="FF0000"/>
          <w:sz w:val="22"/>
          <w:szCs w:val="22"/>
        </w:rPr>
      </w:pPr>
      <w:r w:rsidRPr="00910D71">
        <w:rPr>
          <w:color w:val="FF0000"/>
          <w:sz w:val="22"/>
          <w:szCs w:val="22"/>
        </w:rPr>
        <w:t>2025-01-15</w:t>
      </w:r>
      <w:r w:rsidRPr="00910D71">
        <w:rPr>
          <w:color w:val="FF0000"/>
          <w:sz w:val="22"/>
          <w:szCs w:val="22"/>
        </w:rPr>
        <w:tab/>
        <w:t>Senate – Second Read</w:t>
      </w:r>
    </w:p>
    <w:p w:rsidR="00C02BCE" w:rsidRPr="00910D71" w:rsidRDefault="00C02BCE" w:rsidP="00C02BCE">
      <w:pPr>
        <w:pStyle w:val="BodyText"/>
        <w:spacing w:before="2"/>
        <w:ind w:left="480"/>
        <w:rPr>
          <w:color w:val="FF0000"/>
          <w:sz w:val="22"/>
          <w:szCs w:val="22"/>
        </w:rPr>
      </w:pPr>
      <w:r w:rsidRPr="00910D71">
        <w:rPr>
          <w:color w:val="FF0000"/>
          <w:sz w:val="22"/>
          <w:szCs w:val="22"/>
        </w:rPr>
        <w:t>2025-01-14</w:t>
      </w:r>
      <w:r w:rsidRPr="00910D71">
        <w:rPr>
          <w:color w:val="FF0000"/>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F56717" w:rsidRDefault="00F56717" w:rsidP="00F56717">
      <w:pPr>
        <w:widowControl/>
        <w:autoSpaceDE/>
        <w:autoSpaceDN/>
        <w:ind w:firstLine="480"/>
      </w:pPr>
    </w:p>
    <w:p w:rsidR="00C02BCE" w:rsidRPr="00910D71" w:rsidRDefault="00C02BCE" w:rsidP="00C02BCE">
      <w:pPr>
        <w:widowControl/>
        <w:autoSpaceDE/>
        <w:autoSpaceDN/>
        <w:ind w:firstLine="480"/>
        <w:rPr>
          <w:rFonts w:eastAsia="Times New Roman"/>
          <w:color w:val="0563C1"/>
        </w:rPr>
      </w:pPr>
      <w:hyperlink r:id="rId15" w:history="1">
        <w:r w:rsidRPr="00C02BCE">
          <w:rPr>
            <w:rFonts w:ascii="Calibri" w:eastAsia="Times New Roman" w:hAnsi="Calibri" w:cs="Calibri"/>
            <w:color w:val="0563C1"/>
            <w:u w:val="single"/>
          </w:rPr>
          <w:t>SB1065</w:t>
        </w:r>
      </w:hyperlink>
      <w:r>
        <w:rPr>
          <w:rFonts w:ascii="Calibri" w:eastAsia="Times New Roman" w:hAnsi="Calibri" w:cs="Calibri"/>
          <w:color w:val="0563C1"/>
        </w:rPr>
        <w:tab/>
      </w:r>
      <w:r w:rsidRPr="00910D71">
        <w:rPr>
          <w:rFonts w:eastAsia="Times New Roman"/>
          <w:color w:val="1E1B1D"/>
        </w:rPr>
        <w:t>A</w:t>
      </w:r>
      <w:r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910D71" w:rsidRPr="00910D71" w:rsidRDefault="00910D71" w:rsidP="00910D71">
      <w:pPr>
        <w:pStyle w:val="BodyText"/>
        <w:spacing w:before="2"/>
        <w:ind w:left="480"/>
        <w:rPr>
          <w:color w:val="FF0000"/>
          <w:sz w:val="22"/>
          <w:szCs w:val="22"/>
        </w:rPr>
      </w:pPr>
      <w:r w:rsidRPr="00910D71">
        <w:rPr>
          <w:color w:val="FF0000"/>
          <w:sz w:val="22"/>
          <w:szCs w:val="22"/>
        </w:rPr>
        <w:t>202</w:t>
      </w:r>
      <w:r w:rsidRPr="00910D71">
        <w:rPr>
          <w:color w:val="FF0000"/>
          <w:sz w:val="22"/>
          <w:szCs w:val="22"/>
        </w:rPr>
        <w:t>5-01-16</w:t>
      </w:r>
      <w:r w:rsidRPr="00910D71">
        <w:rPr>
          <w:color w:val="FF0000"/>
          <w:sz w:val="22"/>
          <w:szCs w:val="22"/>
        </w:rPr>
        <w:tab/>
        <w:t>Senate – Second Read</w:t>
      </w:r>
    </w:p>
    <w:p w:rsidR="00910D71" w:rsidRPr="00910D71" w:rsidRDefault="00910D71" w:rsidP="00910D71">
      <w:pPr>
        <w:pStyle w:val="BodyText"/>
        <w:spacing w:before="2"/>
        <w:ind w:left="480"/>
        <w:rPr>
          <w:color w:val="FF0000"/>
          <w:sz w:val="22"/>
          <w:szCs w:val="22"/>
        </w:rPr>
      </w:pPr>
      <w:r w:rsidRPr="00910D71">
        <w:rPr>
          <w:color w:val="FF0000"/>
          <w:sz w:val="22"/>
          <w:szCs w:val="22"/>
        </w:rPr>
        <w:t>2025-01-15</w:t>
      </w:r>
      <w:r w:rsidRPr="00910D71">
        <w:rPr>
          <w:color w:val="FF0000"/>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F56717" w:rsidRDefault="00F56717" w:rsidP="00F56717">
      <w:pPr>
        <w:widowControl/>
        <w:autoSpaceDE/>
        <w:autoSpaceDN/>
        <w:ind w:firstLine="480"/>
      </w:pPr>
    </w:p>
    <w:p w:rsidR="00910D71" w:rsidRPr="00910D71" w:rsidRDefault="00910D71" w:rsidP="00910D71">
      <w:pPr>
        <w:widowControl/>
        <w:autoSpaceDE/>
        <w:autoSpaceDN/>
        <w:ind w:firstLine="480"/>
        <w:rPr>
          <w:rFonts w:ascii="Calibri" w:eastAsia="Times New Roman" w:hAnsi="Calibri" w:cs="Calibri"/>
          <w:color w:val="0563C1"/>
        </w:rPr>
      </w:pPr>
      <w:hyperlink r:id="rId16" w:history="1">
        <w:r w:rsidRPr="00910D71">
          <w:rPr>
            <w:rFonts w:ascii="Calibri" w:eastAsia="Times New Roman" w:hAnsi="Calibri" w:cs="Calibri"/>
            <w:color w:val="0563C1"/>
            <w:u w:val="single"/>
          </w:rPr>
          <w:t>SB1122</w:t>
        </w:r>
      </w:hyperlink>
      <w:r>
        <w:rPr>
          <w:rFonts w:ascii="Calibri" w:eastAsia="Times New Roman" w:hAnsi="Calibri" w:cs="Calibri"/>
          <w:color w:val="0563C1"/>
        </w:rPr>
        <w:tab/>
      </w:r>
      <w:r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F56717" w:rsidRPr="00910D71" w:rsidRDefault="00910D71" w:rsidP="00910D71">
      <w:pPr>
        <w:pStyle w:val="BodyText"/>
        <w:spacing w:before="2"/>
        <w:ind w:left="480"/>
        <w:rPr>
          <w:color w:val="FF0000"/>
          <w:sz w:val="22"/>
          <w:szCs w:val="22"/>
        </w:rPr>
      </w:pPr>
      <w:r w:rsidRPr="00910D71">
        <w:rPr>
          <w:color w:val="FF0000"/>
          <w:sz w:val="22"/>
          <w:szCs w:val="22"/>
        </w:rPr>
        <w:t>2025-01-15</w:t>
      </w:r>
      <w:r w:rsidR="00F56717" w:rsidRPr="00910D71">
        <w:rPr>
          <w:color w:val="FF0000"/>
          <w:sz w:val="22"/>
          <w:szCs w:val="22"/>
        </w:rPr>
        <w:tab/>
      </w:r>
      <w:r w:rsidR="00CD40CC">
        <w:rPr>
          <w:color w:val="FF0000"/>
          <w:sz w:val="22"/>
          <w:szCs w:val="22"/>
        </w:rPr>
        <w:t xml:space="preserve">Senate - </w:t>
      </w:r>
      <w:r w:rsidRPr="00910D71">
        <w:rPr>
          <w:color w:val="FF0000"/>
          <w:sz w:val="22"/>
          <w:szCs w:val="22"/>
        </w:rPr>
        <w:t>Introduced</w:t>
      </w:r>
    </w:p>
    <w:p w:rsidR="00F56717" w:rsidRDefault="00F56717" w:rsidP="00910D71">
      <w:pPr>
        <w:pStyle w:val="BodyText"/>
        <w:spacing w:before="2"/>
        <w:ind w:firstLine="480"/>
      </w:pPr>
      <w:r>
        <w:t>_______________________________________________________________________________</w:t>
      </w:r>
    </w:p>
    <w:p w:rsidR="00F56717" w:rsidRDefault="00F56717" w:rsidP="00F56717">
      <w:pPr>
        <w:widowControl/>
        <w:autoSpaceDE/>
        <w:autoSpaceDN/>
        <w:ind w:firstLine="480"/>
      </w:pPr>
    </w:p>
    <w:p w:rsidR="00CD40CC" w:rsidRDefault="00CD40CC" w:rsidP="00F56717">
      <w:pPr>
        <w:widowControl/>
        <w:autoSpaceDE/>
        <w:autoSpaceDN/>
        <w:ind w:firstLine="480"/>
      </w:pPr>
    </w:p>
    <w:p w:rsidR="00CD40CC" w:rsidRDefault="00CD40CC" w:rsidP="00F56717">
      <w:pPr>
        <w:widowControl/>
        <w:autoSpaceDE/>
        <w:autoSpaceDN/>
        <w:ind w:firstLine="480"/>
      </w:pPr>
    </w:p>
    <w:p w:rsidR="00CD40CC" w:rsidRDefault="00CD40CC" w:rsidP="00F56717">
      <w:pPr>
        <w:widowControl/>
        <w:autoSpaceDE/>
        <w:autoSpaceDN/>
        <w:ind w:firstLine="480"/>
      </w:pPr>
    </w:p>
    <w:p w:rsidR="00CD40CC" w:rsidRDefault="00CD40CC" w:rsidP="00F56717">
      <w:pPr>
        <w:widowControl/>
        <w:autoSpaceDE/>
        <w:autoSpaceDN/>
        <w:ind w:firstLine="480"/>
      </w:pPr>
    </w:p>
    <w:p w:rsidR="00CD40CC" w:rsidRDefault="00CD40CC" w:rsidP="00F56717">
      <w:pPr>
        <w:widowControl/>
        <w:autoSpaceDE/>
        <w:autoSpaceDN/>
        <w:ind w:firstLine="480"/>
      </w:pPr>
    </w:p>
    <w:p w:rsidR="00910D71" w:rsidRPr="00910D71" w:rsidRDefault="00910D71" w:rsidP="00910D71">
      <w:pPr>
        <w:widowControl/>
        <w:autoSpaceDE/>
        <w:autoSpaceDN/>
        <w:ind w:firstLine="480"/>
        <w:rPr>
          <w:rFonts w:ascii="Calibri" w:eastAsia="Times New Roman" w:hAnsi="Calibri" w:cs="Calibri"/>
          <w:color w:val="0563C1"/>
        </w:rPr>
      </w:pPr>
      <w:hyperlink r:id="rId17" w:history="1">
        <w:r w:rsidRPr="00910D71">
          <w:rPr>
            <w:rFonts w:ascii="Calibri" w:eastAsia="Times New Roman" w:hAnsi="Calibri" w:cs="Calibri"/>
            <w:color w:val="0563C1"/>
            <w:u w:val="single"/>
          </w:rPr>
          <w:t>SB1150</w:t>
        </w:r>
      </w:hyperlink>
      <w:r>
        <w:rPr>
          <w:rFonts w:ascii="Calibri" w:eastAsia="Times New Roman" w:hAnsi="Calibri" w:cs="Calibri"/>
          <w:color w:val="0563C1"/>
        </w:rPr>
        <w:tab/>
      </w:r>
      <w:r>
        <w:rPr>
          <w:rFonts w:eastAsia="Times New Roman"/>
          <w:color w:val="1E1B1D"/>
          <w:sz w:val="24"/>
          <w:szCs w:val="24"/>
        </w:rPr>
        <w:t>S</w:t>
      </w:r>
      <w:r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CD40CC" w:rsidRDefault="00F56717" w:rsidP="00F56717">
      <w:pPr>
        <w:pStyle w:val="BodyText"/>
        <w:spacing w:before="2"/>
        <w:ind w:left="480"/>
        <w:rPr>
          <w:b/>
          <w:sz w:val="22"/>
          <w:szCs w:val="22"/>
        </w:rPr>
      </w:pPr>
      <w:r w:rsidRPr="00CD40CC">
        <w:rPr>
          <w:b/>
          <w:sz w:val="22"/>
          <w:szCs w:val="22"/>
        </w:rPr>
        <w:t xml:space="preserve">Primary Sponsor: </w:t>
      </w:r>
      <w:proofErr w:type="spellStart"/>
      <w:r w:rsidRPr="00CD40CC">
        <w:rPr>
          <w:b/>
          <w:sz w:val="22"/>
          <w:szCs w:val="22"/>
        </w:rPr>
        <w:t>Gowan</w:t>
      </w:r>
      <w:proofErr w:type="spellEnd"/>
      <w:r w:rsidRPr="00CD40CC">
        <w:rPr>
          <w:b/>
          <w:sz w:val="22"/>
          <w:szCs w:val="22"/>
        </w:rPr>
        <w:t xml:space="preserve">, D. </w:t>
      </w:r>
    </w:p>
    <w:p w:rsidR="00F56717" w:rsidRPr="00CD40CC" w:rsidRDefault="00CD40CC" w:rsidP="00F56717">
      <w:pPr>
        <w:pStyle w:val="BodyText"/>
        <w:spacing w:before="2"/>
        <w:ind w:left="480"/>
        <w:rPr>
          <w:color w:val="FF0000"/>
          <w:sz w:val="22"/>
          <w:szCs w:val="22"/>
        </w:rPr>
      </w:pPr>
      <w:r w:rsidRPr="00CD40CC">
        <w:rPr>
          <w:color w:val="FF0000"/>
          <w:sz w:val="22"/>
          <w:szCs w:val="22"/>
        </w:rPr>
        <w:t xml:space="preserve">2025-01-16 </w:t>
      </w:r>
      <w:r w:rsidRPr="00CD40CC">
        <w:rPr>
          <w:color w:val="FF0000"/>
          <w:sz w:val="22"/>
          <w:szCs w:val="22"/>
        </w:rPr>
        <w:tab/>
      </w:r>
      <w:r w:rsidR="00F56717" w:rsidRPr="00CD40CC">
        <w:rPr>
          <w:color w:val="FF0000"/>
          <w:sz w:val="22"/>
          <w:szCs w:val="22"/>
        </w:rPr>
        <w:t>Senate – Introduced</w:t>
      </w:r>
    </w:p>
    <w:p w:rsidR="00F56717" w:rsidRDefault="00F56717" w:rsidP="00F56717">
      <w:pPr>
        <w:pStyle w:val="BodyText"/>
        <w:spacing w:before="2"/>
        <w:ind w:left="480"/>
      </w:pPr>
      <w:r>
        <w:t>_____________________________________________________________________________</w:t>
      </w:r>
    </w:p>
    <w:p w:rsidR="00941357" w:rsidRDefault="00941357" w:rsidP="00CD40CC">
      <w:pPr>
        <w:widowControl/>
        <w:autoSpaceDE/>
        <w:autoSpaceDN/>
        <w:ind w:firstLine="480"/>
        <w:rPr>
          <w:rFonts w:ascii="Calibri" w:eastAsia="Times New Roman" w:hAnsi="Calibri" w:cs="Calibri"/>
          <w:color w:val="0563C1"/>
          <w:u w:val="single"/>
        </w:rPr>
      </w:pPr>
    </w:p>
    <w:p w:rsidR="00CD40CC" w:rsidRPr="00CD40CC" w:rsidRDefault="00CD40CC" w:rsidP="00CD40CC">
      <w:pPr>
        <w:widowControl/>
        <w:autoSpaceDE/>
        <w:autoSpaceDN/>
        <w:ind w:firstLine="480"/>
        <w:rPr>
          <w:rFonts w:ascii="Calibri" w:eastAsia="Times New Roman" w:hAnsi="Calibri" w:cs="Calibri"/>
          <w:color w:val="000000" w:themeColor="text1"/>
        </w:rPr>
      </w:pPr>
      <w:hyperlink r:id="rId18" w:history="1">
        <w:r w:rsidRPr="00CD40CC">
          <w:rPr>
            <w:rFonts w:ascii="Calibri" w:eastAsia="Times New Roman" w:hAnsi="Calibri" w:cs="Calibri"/>
            <w:color w:val="0563C1"/>
            <w:u w:val="single"/>
          </w:rPr>
          <w:t>SB1155</w:t>
        </w:r>
      </w:hyperlink>
      <w:r>
        <w:rPr>
          <w:rFonts w:ascii="Calibri" w:eastAsia="Times New Roman" w:hAnsi="Calibri" w:cs="Calibri"/>
          <w:color w:val="0563C1"/>
        </w:rPr>
        <w:tab/>
      </w:r>
      <w:r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CD40CC" w:rsidRDefault="00CD40CC" w:rsidP="00CD40CC">
      <w:pPr>
        <w:pStyle w:val="BodyText"/>
        <w:spacing w:before="2"/>
        <w:ind w:left="480"/>
        <w:rPr>
          <w:b/>
          <w:sz w:val="22"/>
          <w:szCs w:val="22"/>
        </w:rPr>
      </w:pPr>
      <w:r w:rsidRPr="00CD40CC">
        <w:rPr>
          <w:b/>
          <w:sz w:val="22"/>
          <w:szCs w:val="22"/>
        </w:rPr>
        <w:t xml:space="preserve">Primary Sponsor: </w:t>
      </w:r>
      <w:proofErr w:type="spellStart"/>
      <w:r w:rsidRPr="00CD40CC">
        <w:rPr>
          <w:b/>
          <w:sz w:val="22"/>
          <w:szCs w:val="22"/>
        </w:rPr>
        <w:t>Gowan</w:t>
      </w:r>
      <w:proofErr w:type="spellEnd"/>
      <w:r w:rsidRPr="00CD40CC">
        <w:rPr>
          <w:b/>
          <w:sz w:val="22"/>
          <w:szCs w:val="22"/>
        </w:rPr>
        <w:t xml:space="preserve">, D. </w:t>
      </w:r>
    </w:p>
    <w:p w:rsidR="00CD40CC" w:rsidRDefault="00CD40CC" w:rsidP="00CD40CC">
      <w:pPr>
        <w:pStyle w:val="BodyText"/>
        <w:spacing w:before="2"/>
        <w:ind w:left="480"/>
        <w:rPr>
          <w:color w:val="FF0000"/>
          <w:sz w:val="22"/>
          <w:szCs w:val="22"/>
        </w:rPr>
      </w:pPr>
      <w:r w:rsidRPr="00CD40CC">
        <w:rPr>
          <w:color w:val="FF0000"/>
          <w:sz w:val="22"/>
          <w:szCs w:val="22"/>
        </w:rPr>
        <w:t xml:space="preserve">2025-01-16 </w:t>
      </w:r>
      <w:r w:rsidRPr="00CD40CC">
        <w:rPr>
          <w:color w:val="FF0000"/>
          <w:sz w:val="22"/>
          <w:szCs w:val="22"/>
        </w:rPr>
        <w:tab/>
        <w:t>Senate – Introduced</w:t>
      </w:r>
    </w:p>
    <w:p w:rsidR="00CD40CC" w:rsidRDefault="00CD40CC" w:rsidP="00CD40CC">
      <w:pPr>
        <w:pStyle w:val="BodyText"/>
        <w:spacing w:before="2"/>
        <w:ind w:left="480"/>
      </w:pPr>
      <w:r>
        <w:t>_____________________________________________________________________________</w:t>
      </w:r>
    </w:p>
    <w:p w:rsidR="00CD40CC" w:rsidRDefault="00CD40CC" w:rsidP="00CD40CC">
      <w:pPr>
        <w:pStyle w:val="BodyText"/>
        <w:spacing w:before="2"/>
        <w:ind w:left="480"/>
        <w:rPr>
          <w:color w:val="FF0000"/>
          <w:sz w:val="22"/>
          <w:szCs w:val="22"/>
        </w:rPr>
      </w:pPr>
    </w:p>
    <w:p w:rsidR="00CD40CC" w:rsidRPr="00CD40CC" w:rsidRDefault="00CD40CC" w:rsidP="00CD40CC">
      <w:pPr>
        <w:widowControl/>
        <w:autoSpaceDE/>
        <w:autoSpaceDN/>
        <w:ind w:firstLine="480"/>
        <w:rPr>
          <w:rFonts w:eastAsia="Times New Roman"/>
          <w:color w:val="1E1B1D"/>
          <w:sz w:val="24"/>
          <w:szCs w:val="24"/>
        </w:rPr>
      </w:pPr>
      <w:hyperlink r:id="rId19" w:history="1">
        <w:r w:rsidRPr="00CD40CC">
          <w:rPr>
            <w:rFonts w:ascii="Calibri" w:eastAsia="Times New Roman" w:hAnsi="Calibri" w:cs="Calibri"/>
            <w:color w:val="0563C1"/>
            <w:u w:val="single"/>
          </w:rPr>
          <w:t>SB1158</w:t>
        </w:r>
      </w:hyperlink>
      <w:r>
        <w:rPr>
          <w:rFonts w:ascii="Calibri" w:eastAsia="Times New Roman" w:hAnsi="Calibri" w:cs="Calibri"/>
          <w:color w:val="0563C1"/>
        </w:rPr>
        <w:tab/>
      </w:r>
      <w:r>
        <w:rPr>
          <w:rFonts w:eastAsia="Times New Roman"/>
          <w:color w:val="1E1B1D"/>
          <w:sz w:val="24"/>
          <w:szCs w:val="24"/>
        </w:rPr>
        <w:t>P</w:t>
      </w:r>
      <w:r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CD40CC" w:rsidRDefault="00CD40CC" w:rsidP="00CD40CC">
      <w:pPr>
        <w:pStyle w:val="BodyText"/>
        <w:spacing w:before="2"/>
        <w:ind w:left="480"/>
        <w:rPr>
          <w:b/>
          <w:sz w:val="22"/>
          <w:szCs w:val="22"/>
        </w:rPr>
      </w:pPr>
      <w:r w:rsidRPr="00CD40CC">
        <w:rPr>
          <w:b/>
          <w:sz w:val="22"/>
          <w:szCs w:val="22"/>
        </w:rPr>
        <w:t xml:space="preserve">Primary Sponsor: </w:t>
      </w:r>
      <w:proofErr w:type="spellStart"/>
      <w:r w:rsidRPr="00CD40CC">
        <w:rPr>
          <w:b/>
          <w:sz w:val="22"/>
          <w:szCs w:val="22"/>
        </w:rPr>
        <w:t>Gowan</w:t>
      </w:r>
      <w:proofErr w:type="spellEnd"/>
      <w:r w:rsidRPr="00CD40CC">
        <w:rPr>
          <w:b/>
          <w:sz w:val="22"/>
          <w:szCs w:val="22"/>
        </w:rPr>
        <w:t xml:space="preserve">, D. </w:t>
      </w:r>
    </w:p>
    <w:p w:rsidR="00CD40CC" w:rsidRDefault="00CD40CC" w:rsidP="00CD40CC">
      <w:pPr>
        <w:pStyle w:val="BodyText"/>
        <w:spacing w:before="2"/>
        <w:ind w:left="480"/>
        <w:rPr>
          <w:color w:val="FF0000"/>
          <w:sz w:val="22"/>
          <w:szCs w:val="22"/>
        </w:rPr>
      </w:pPr>
      <w:r w:rsidRPr="00CD40CC">
        <w:rPr>
          <w:color w:val="FF0000"/>
          <w:sz w:val="22"/>
          <w:szCs w:val="22"/>
        </w:rPr>
        <w:t xml:space="preserve">2025-01-16 </w:t>
      </w:r>
      <w:r w:rsidRPr="00CD40CC">
        <w:rPr>
          <w:color w:val="FF0000"/>
          <w:sz w:val="22"/>
          <w:szCs w:val="22"/>
        </w:rPr>
        <w:tab/>
        <w:t>Senate – Introduced</w:t>
      </w:r>
    </w:p>
    <w:p w:rsidR="00CD40CC" w:rsidRDefault="00CD40CC" w:rsidP="00CD40CC">
      <w:pPr>
        <w:pStyle w:val="BodyText"/>
        <w:spacing w:before="2"/>
        <w:ind w:left="480"/>
        <w:rPr>
          <w:color w:val="FF0000"/>
          <w:sz w:val="22"/>
          <w:szCs w:val="22"/>
        </w:rPr>
      </w:pPr>
      <w:r>
        <w:t>_____________________________________________________________________________</w:t>
      </w:r>
    </w:p>
    <w:p w:rsidR="00CD40CC" w:rsidRDefault="00CD40CC" w:rsidP="00CD40CC">
      <w:pPr>
        <w:pStyle w:val="BodyText"/>
        <w:spacing w:before="2"/>
        <w:ind w:left="480"/>
        <w:rPr>
          <w:color w:val="FF0000"/>
          <w:sz w:val="22"/>
          <w:szCs w:val="22"/>
        </w:rPr>
      </w:pPr>
    </w:p>
    <w:p w:rsidR="003C2BD1" w:rsidRPr="003C2BD1" w:rsidRDefault="00CD40CC" w:rsidP="003C2BD1">
      <w:pPr>
        <w:widowControl/>
        <w:autoSpaceDE/>
        <w:autoSpaceDN/>
        <w:ind w:firstLine="480"/>
        <w:rPr>
          <w:rFonts w:eastAsia="Times New Roman"/>
          <w:color w:val="0563C1"/>
        </w:rPr>
      </w:pPr>
      <w:hyperlink r:id="rId20" w:history="1">
        <w:r w:rsidRPr="00CD40CC">
          <w:rPr>
            <w:rFonts w:ascii="Calibri" w:eastAsia="Times New Roman" w:hAnsi="Calibri" w:cs="Calibri"/>
            <w:color w:val="0563C1"/>
            <w:u w:val="single"/>
          </w:rPr>
          <w:t>SB1160</w:t>
        </w:r>
      </w:hyperlink>
      <w:r>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xml:space="preserve">, D. </w:t>
      </w:r>
    </w:p>
    <w:p w:rsidR="00CD40CC" w:rsidRPr="003C2BD1" w:rsidRDefault="00CD40CC" w:rsidP="00CD40CC">
      <w:pPr>
        <w:pStyle w:val="BodyText"/>
        <w:spacing w:before="2"/>
        <w:ind w:left="480"/>
        <w:rPr>
          <w:color w:val="FF0000"/>
          <w:sz w:val="22"/>
          <w:szCs w:val="22"/>
        </w:rPr>
      </w:pPr>
      <w:r w:rsidRPr="003C2BD1">
        <w:rPr>
          <w:color w:val="FF0000"/>
          <w:sz w:val="22"/>
          <w:szCs w:val="22"/>
        </w:rPr>
        <w:t xml:space="preserve">2025-01-16 </w:t>
      </w:r>
      <w:r w:rsidRPr="003C2BD1">
        <w:rPr>
          <w:color w:val="FF0000"/>
          <w:sz w:val="22"/>
          <w:szCs w:val="22"/>
        </w:rPr>
        <w:tab/>
        <w:t>Senate – Introduced</w:t>
      </w:r>
    </w:p>
    <w:p w:rsidR="00CD40CC" w:rsidRDefault="00CD40CC" w:rsidP="00CD40CC">
      <w:pPr>
        <w:pStyle w:val="BodyText"/>
        <w:spacing w:before="2"/>
        <w:ind w:left="480"/>
      </w:pPr>
      <w:r>
        <w:t>_____________________________________________________________________________</w:t>
      </w:r>
    </w:p>
    <w:p w:rsidR="00CD40CC" w:rsidRDefault="00CD40CC" w:rsidP="00CD40CC">
      <w:pPr>
        <w:pStyle w:val="BodyText"/>
        <w:spacing w:before="2"/>
        <w:ind w:left="480"/>
        <w:rPr>
          <w:color w:val="FF0000"/>
          <w:sz w:val="22"/>
          <w:szCs w:val="22"/>
        </w:rPr>
      </w:pPr>
    </w:p>
    <w:p w:rsidR="003C2BD1" w:rsidRPr="003C2BD1" w:rsidRDefault="003C2BD1" w:rsidP="003C2BD1">
      <w:pPr>
        <w:widowControl/>
        <w:autoSpaceDE/>
        <w:autoSpaceDN/>
        <w:ind w:firstLine="480"/>
        <w:rPr>
          <w:rFonts w:ascii="Calibri" w:eastAsia="Times New Roman" w:hAnsi="Calibri" w:cs="Calibri"/>
          <w:color w:val="0563C1"/>
        </w:rPr>
      </w:pPr>
      <w:hyperlink r:id="rId21" w:history="1">
        <w:r w:rsidRPr="003C2BD1">
          <w:rPr>
            <w:rFonts w:ascii="Calibri" w:eastAsia="Times New Roman" w:hAnsi="Calibri" w:cs="Calibri"/>
            <w:color w:val="0563C1"/>
            <w:u w:val="single"/>
          </w:rPr>
          <w:t>SB1163</w:t>
        </w:r>
      </w:hyperlink>
      <w:r>
        <w:rPr>
          <w:rFonts w:ascii="Calibri" w:eastAsia="Times New Roman" w:hAnsi="Calibri" w:cs="Calibri"/>
          <w:color w:val="0563C1"/>
        </w:rPr>
        <w:tab/>
      </w:r>
      <w:r>
        <w:rPr>
          <w:rFonts w:eastAsia="Times New Roman"/>
          <w:color w:val="1E1B1D"/>
          <w:sz w:val="24"/>
          <w:szCs w:val="24"/>
        </w:rPr>
        <w:t>V</w:t>
      </w:r>
      <w:r w:rsidRPr="003C2BD1">
        <w:rPr>
          <w:rFonts w:eastAsia="Times New Roman"/>
          <w:color w:val="1E1B1D"/>
          <w:sz w:val="24"/>
          <w:szCs w:val="24"/>
        </w:rPr>
        <w:t>eterans; emergency admission; transport</w:t>
      </w:r>
    </w:p>
    <w:p w:rsidR="00CD40CC" w:rsidRDefault="00CD40CC" w:rsidP="003C2BD1">
      <w:pPr>
        <w:pStyle w:val="BodyText"/>
        <w:spacing w:before="2"/>
        <w:rPr>
          <w:color w:val="FF0000"/>
          <w:sz w:val="22"/>
          <w:szCs w:val="22"/>
        </w:rPr>
      </w:pPr>
    </w:p>
    <w:p w:rsidR="003C2BD1" w:rsidRPr="003C2BD1" w:rsidRDefault="003C2BD1" w:rsidP="003C2BD1">
      <w:pPr>
        <w:widowControl/>
        <w:autoSpaceDE/>
        <w:autoSpaceDN/>
        <w:ind w:left="480"/>
        <w:rPr>
          <w:rFonts w:ascii="Segoe UI" w:eastAsia="Times New Roman" w:hAnsi="Segoe UI" w:cs="Segoe UI"/>
          <w:color w:val="000000" w:themeColor="text1"/>
        </w:rPr>
      </w:pPr>
      <w:r w:rsidRPr="003C2BD1">
        <w:rPr>
          <w:rFonts w:ascii="Segoe UI" w:eastAsia="Times New Roman" w:hAnsi="Segoe UI" w:cs="Segoe UI"/>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Default="003C2BD1" w:rsidP="00CD40CC">
      <w:pPr>
        <w:pStyle w:val="BodyText"/>
        <w:spacing w:before="2"/>
        <w:ind w:left="480"/>
        <w:rPr>
          <w:b/>
          <w:sz w:val="22"/>
          <w:szCs w:val="22"/>
        </w:rPr>
      </w:pPr>
    </w:p>
    <w:p w:rsidR="003C2BD1" w:rsidRPr="003C2BD1" w:rsidRDefault="003C2BD1" w:rsidP="003C2BD1">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xml:space="preserve">, D. </w:t>
      </w:r>
    </w:p>
    <w:p w:rsidR="003C2BD1" w:rsidRPr="003C2BD1" w:rsidRDefault="003C2BD1" w:rsidP="003C2BD1">
      <w:pPr>
        <w:pStyle w:val="BodyText"/>
        <w:spacing w:before="2"/>
        <w:ind w:left="480"/>
        <w:rPr>
          <w:color w:val="FF0000"/>
          <w:sz w:val="22"/>
          <w:szCs w:val="22"/>
        </w:rPr>
      </w:pPr>
      <w:r w:rsidRPr="003C2BD1">
        <w:rPr>
          <w:color w:val="FF0000"/>
          <w:sz w:val="22"/>
          <w:szCs w:val="22"/>
        </w:rPr>
        <w:t xml:space="preserve">2025-01-16 </w:t>
      </w:r>
      <w:r w:rsidRPr="003C2BD1">
        <w:rPr>
          <w:color w:val="FF0000"/>
          <w:sz w:val="22"/>
          <w:szCs w:val="22"/>
        </w:rPr>
        <w:tab/>
        <w:t>Senate – Introduced</w:t>
      </w:r>
    </w:p>
    <w:p w:rsidR="00CD40CC" w:rsidRPr="00CD40CC" w:rsidRDefault="00CD40CC" w:rsidP="003C2BD1">
      <w:pPr>
        <w:pStyle w:val="BodyText"/>
        <w:spacing w:before="2"/>
        <w:rPr>
          <w:color w:val="FF0000"/>
          <w:sz w:val="22"/>
          <w:szCs w:val="22"/>
        </w:rPr>
      </w:pPr>
    </w:p>
    <w:p w:rsidR="00A57FAD" w:rsidRDefault="00A57FAD" w:rsidP="00B900DC">
      <w:pPr>
        <w:pStyle w:val="BodyText"/>
        <w:spacing w:before="2"/>
        <w:ind w:left="480"/>
        <w:rPr>
          <w:b/>
          <w:color w:val="FF0000"/>
        </w:rPr>
      </w:pPr>
    </w:p>
    <w:p w:rsidR="00941357" w:rsidRDefault="00941357" w:rsidP="00B900DC">
      <w:pPr>
        <w:pStyle w:val="BodyText"/>
        <w:spacing w:before="2"/>
        <w:ind w:left="480"/>
        <w:rPr>
          <w:b/>
          <w:color w:val="FF0000"/>
        </w:rPr>
      </w:pPr>
    </w:p>
    <w:p w:rsidR="00CD40CC" w:rsidRDefault="00CD40CC" w:rsidP="00CD40CC">
      <w:pPr>
        <w:pStyle w:val="BodyText"/>
        <w:spacing w:before="2"/>
        <w:ind w:left="480"/>
        <w:rPr>
          <w:b/>
          <w:color w:val="FF0000"/>
        </w:rPr>
      </w:pPr>
      <w:r>
        <w:rPr>
          <w:b/>
          <w:color w:val="FF0000"/>
        </w:rPr>
        <w:lastRenderedPageBreak/>
        <w:t>________________________________________________________________________</w:t>
      </w:r>
    </w:p>
    <w:p w:rsidR="00B900DC" w:rsidRDefault="00B900DC" w:rsidP="00B900DC">
      <w:pPr>
        <w:pStyle w:val="BodyText"/>
        <w:spacing w:before="2"/>
        <w:ind w:left="480"/>
        <w:rPr>
          <w:b/>
          <w:color w:val="FF0000"/>
        </w:rPr>
      </w:pPr>
      <w:r>
        <w:rPr>
          <w:b/>
          <w:color w:val="FF0000"/>
        </w:rPr>
        <w:t>________________________________________________________________________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FB4B67" w:rsidP="00FB4B67">
      <w:pPr>
        <w:widowControl/>
        <w:autoSpaceDE/>
        <w:autoSpaceDN/>
        <w:ind w:firstLine="480"/>
        <w:rPr>
          <w:rFonts w:eastAsia="Times New Roman"/>
          <w:color w:val="000000" w:themeColor="text1"/>
        </w:rPr>
      </w:pPr>
      <w:hyperlink r:id="rId22" w:tgtFrame="blank" w:history="1">
        <w:r w:rsidRPr="00FB4B67">
          <w:rPr>
            <w:rFonts w:ascii="Calibri" w:eastAsia="Times New Roman" w:hAnsi="Calibri" w:cs="Calibri"/>
            <w:color w:val="0563C1"/>
            <w:u w:val="single"/>
          </w:rPr>
          <w:t>HCM2004</w:t>
        </w:r>
      </w:hyperlink>
      <w:r>
        <w:rPr>
          <w:rFonts w:ascii="Calibri" w:eastAsia="Times New Roman" w:hAnsi="Calibri" w:cs="Calibri"/>
          <w:color w:val="0563C1"/>
        </w:rPr>
        <w:tab/>
      </w:r>
      <w:r>
        <w:rPr>
          <w:rFonts w:eastAsia="Times New Roman"/>
          <w:color w:val="000000" w:themeColor="text1"/>
        </w:rPr>
        <w:t>M</w:t>
      </w:r>
      <w:r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pStyle w:val="BodyText"/>
        <w:spacing w:before="2"/>
        <w:ind w:left="480"/>
        <w:rPr>
          <w:b/>
          <w:color w:val="000000" w:themeColor="text1"/>
          <w:sz w:val="22"/>
          <w:szCs w:val="22"/>
        </w:rPr>
      </w:pPr>
      <w:r w:rsidRPr="00FB4B67">
        <w:rPr>
          <w:b/>
          <w:color w:val="000000" w:themeColor="text1"/>
          <w:sz w:val="22"/>
          <w:szCs w:val="22"/>
        </w:rPr>
        <w:t xml:space="preserve">Primary Sponsor: </w:t>
      </w:r>
      <w:r>
        <w:rPr>
          <w:b/>
          <w:color w:val="000000" w:themeColor="text1"/>
          <w:sz w:val="22"/>
          <w:szCs w:val="22"/>
        </w:rPr>
        <w:t>Griffin, Gail</w:t>
      </w:r>
      <w:r w:rsidRPr="00FB4B67">
        <w:rPr>
          <w:b/>
          <w:color w:val="000000" w:themeColor="text1"/>
          <w:sz w:val="22"/>
          <w:szCs w:val="22"/>
        </w:rPr>
        <w:t xml:space="preserve"> </w:t>
      </w:r>
    </w:p>
    <w:p w:rsidR="00FB4B67" w:rsidRPr="00882387" w:rsidRDefault="00FB4B67" w:rsidP="00FB4B67">
      <w:pPr>
        <w:pStyle w:val="BodyText"/>
        <w:spacing w:before="2"/>
        <w:ind w:left="480"/>
        <w:rPr>
          <w:sz w:val="22"/>
          <w:szCs w:val="22"/>
        </w:rPr>
      </w:pPr>
      <w:r w:rsidRPr="00882387">
        <w:rPr>
          <w:color w:val="FF0000"/>
          <w:sz w:val="22"/>
          <w:szCs w:val="22"/>
        </w:rPr>
        <w:t>2025-01-15</w:t>
      </w:r>
      <w:r w:rsidRPr="00882387">
        <w:rPr>
          <w:color w:val="FF0000"/>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D978A1" w:rsidP="00D978A1">
      <w:pPr>
        <w:widowControl/>
        <w:autoSpaceDE/>
        <w:autoSpaceDN/>
        <w:ind w:firstLine="480"/>
        <w:rPr>
          <w:rFonts w:eastAsia="Times New Roman"/>
          <w:color w:val="1E1B1D"/>
        </w:rPr>
      </w:pPr>
      <w:hyperlink r:id="rId23" w:tgtFrame="blank" w:history="1">
        <w:r w:rsidRPr="00D978A1">
          <w:rPr>
            <w:rFonts w:ascii="Calibri" w:eastAsia="Times New Roman" w:hAnsi="Calibri" w:cs="Calibri"/>
            <w:color w:val="0563C1"/>
            <w:u w:val="single"/>
          </w:rPr>
          <w:t>HCR2010</w:t>
        </w:r>
      </w:hyperlink>
      <w:r>
        <w:rPr>
          <w:rFonts w:ascii="Calibri" w:eastAsia="Times New Roman" w:hAnsi="Calibri" w:cs="Calibri"/>
          <w:color w:val="0563C1"/>
        </w:rPr>
        <w:tab/>
      </w:r>
      <w:r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D978A1" w:rsidRPr="00910D71" w:rsidRDefault="00D978A1" w:rsidP="00D978A1">
      <w:pPr>
        <w:pStyle w:val="BodyText"/>
        <w:spacing w:before="2"/>
        <w:ind w:left="480"/>
        <w:rPr>
          <w:color w:val="FF0000"/>
          <w:sz w:val="22"/>
          <w:szCs w:val="22"/>
        </w:rPr>
      </w:pPr>
      <w:r>
        <w:rPr>
          <w:color w:val="FF0000"/>
          <w:sz w:val="22"/>
          <w:szCs w:val="22"/>
        </w:rPr>
        <w:t>2025-01-13</w:t>
      </w:r>
      <w:r>
        <w:rPr>
          <w:color w:val="FF0000"/>
          <w:sz w:val="22"/>
          <w:szCs w:val="22"/>
        </w:rPr>
        <w:tab/>
        <w:t>House</w:t>
      </w:r>
      <w:r w:rsidRPr="00910D71">
        <w:rPr>
          <w:color w:val="FF0000"/>
          <w:sz w:val="22"/>
          <w:szCs w:val="22"/>
        </w:rPr>
        <w:t xml:space="preserve"> – </w:t>
      </w:r>
      <w:r>
        <w:rPr>
          <w:color w:val="FF0000"/>
          <w:sz w:val="22"/>
          <w:szCs w:val="22"/>
        </w:rPr>
        <w:t>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D978A1" w:rsidP="009169FA">
      <w:pPr>
        <w:widowControl/>
        <w:autoSpaceDE/>
        <w:autoSpaceDN/>
        <w:ind w:firstLine="480"/>
        <w:rPr>
          <w:rFonts w:eastAsia="Times New Roman"/>
          <w:color w:val="1E1B1D"/>
        </w:rPr>
      </w:pPr>
      <w:hyperlink r:id="rId24" w:tgtFrame="blank" w:history="1">
        <w:r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FB4B67" w:rsidRPr="00882387" w:rsidRDefault="00FB4B67" w:rsidP="00FB4B67">
      <w:pPr>
        <w:pStyle w:val="BodyText"/>
        <w:spacing w:before="2"/>
        <w:ind w:left="480"/>
        <w:rPr>
          <w:sz w:val="22"/>
          <w:szCs w:val="22"/>
        </w:rPr>
      </w:pPr>
      <w:r w:rsidRPr="00882387">
        <w:rPr>
          <w:color w:val="FF0000"/>
          <w:sz w:val="22"/>
          <w:szCs w:val="22"/>
        </w:rPr>
        <w:t>2025</w:t>
      </w:r>
      <w:r w:rsidR="009169FA">
        <w:rPr>
          <w:color w:val="FF0000"/>
          <w:sz w:val="22"/>
          <w:szCs w:val="22"/>
        </w:rPr>
        <w:t>-01-16</w:t>
      </w:r>
      <w:r w:rsidRPr="00882387">
        <w:rPr>
          <w:color w:val="FF0000"/>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9169FA" w:rsidP="009169FA">
      <w:pPr>
        <w:widowControl/>
        <w:autoSpaceDE/>
        <w:autoSpaceDN/>
        <w:ind w:firstLine="480"/>
        <w:rPr>
          <w:rFonts w:eastAsia="Times New Roman"/>
          <w:color w:val="1E1B1D"/>
        </w:rPr>
      </w:pPr>
      <w:hyperlink r:id="rId25" w:tgtFrame="blank" w:history="1">
        <w:r w:rsidRPr="009169FA">
          <w:rPr>
            <w:rFonts w:ascii="Calibri" w:eastAsia="Times New Roman" w:hAnsi="Calibri" w:cs="Calibri"/>
            <w:color w:val="0563C1"/>
            <w:u w:val="single"/>
          </w:rPr>
          <w:t>HCR2023</w:t>
        </w:r>
      </w:hyperlink>
      <w:r>
        <w:rPr>
          <w:rFonts w:ascii="Calibri" w:eastAsia="Times New Roman" w:hAnsi="Calibri" w:cs="Calibri"/>
          <w:color w:val="0563C1"/>
        </w:rPr>
        <w:tab/>
      </w:r>
      <w:r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D303DE" w:rsidRDefault="009169FA" w:rsidP="009169FA">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9169FA" w:rsidRPr="007F21F3" w:rsidRDefault="009169FA" w:rsidP="009169FA">
      <w:pPr>
        <w:widowControl/>
        <w:autoSpaceDE/>
        <w:autoSpaceDN/>
        <w:ind w:firstLine="480"/>
        <w:rPr>
          <w:color w:val="FF0000"/>
        </w:rPr>
      </w:pPr>
      <w:r>
        <w:rPr>
          <w:color w:val="FF0000"/>
        </w:rPr>
        <w:t>2025-01-14</w:t>
      </w:r>
      <w:r w:rsidRPr="007F21F3">
        <w:rPr>
          <w:color w:val="FF0000"/>
        </w:rPr>
        <w:tab/>
        <w:t xml:space="preserve">House – </w:t>
      </w:r>
      <w:r>
        <w:rPr>
          <w:color w:val="FF0000"/>
        </w:rPr>
        <w:t>Introduced</w:t>
      </w:r>
    </w:p>
    <w:p w:rsidR="009169FA" w:rsidRDefault="009169FA" w:rsidP="009169FA">
      <w:pPr>
        <w:widowControl/>
        <w:autoSpaceDE/>
        <w:autoSpaceDN/>
        <w:ind w:firstLine="480"/>
        <w:rPr>
          <w:rFonts w:ascii="Calibri" w:eastAsia="Times New Roman" w:hAnsi="Calibri" w:cs="Calibri"/>
          <w:color w:val="0563C1"/>
        </w:rPr>
      </w:pPr>
      <w:r>
        <w:t>_____________________________________________________________________________</w:t>
      </w:r>
    </w:p>
    <w:p w:rsidR="003C2BD1" w:rsidRPr="00941357" w:rsidRDefault="003C2BD1" w:rsidP="003C2BD1">
      <w:pPr>
        <w:widowControl/>
        <w:autoSpaceDE/>
        <w:autoSpaceDN/>
        <w:ind w:firstLine="480"/>
        <w:rPr>
          <w:rFonts w:eastAsia="Times New Roman"/>
          <w:color w:val="0563C1"/>
          <w:u w:val="single"/>
        </w:rPr>
      </w:pPr>
      <w:hyperlink r:id="rId26" w:history="1">
        <w:r w:rsidRPr="003C2BD1">
          <w:rPr>
            <w:rFonts w:ascii="Calibri" w:eastAsia="Times New Roman" w:hAnsi="Calibri" w:cs="Calibri"/>
            <w:color w:val="0563C1"/>
          </w:rPr>
          <w:t>HB2004</w:t>
        </w:r>
      </w:hyperlink>
      <w:r>
        <w:rPr>
          <w:rFonts w:ascii="Calibri" w:eastAsia="Times New Roman" w:hAnsi="Calibri" w:cs="Calibri"/>
          <w:color w:val="0563C1"/>
        </w:rPr>
        <w:tab/>
      </w:r>
      <w:r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Primary Sponsor: Gillette, John</w:t>
      </w:r>
      <w:r w:rsidRPr="00882387">
        <w:rPr>
          <w:b/>
          <w:sz w:val="22"/>
          <w:szCs w:val="22"/>
        </w:rPr>
        <w:t xml:space="preserve"> </w:t>
      </w:r>
    </w:p>
    <w:p w:rsidR="00957E79" w:rsidRPr="00882387" w:rsidRDefault="00882387" w:rsidP="00957E79">
      <w:pPr>
        <w:pStyle w:val="BodyText"/>
        <w:spacing w:before="2"/>
        <w:ind w:left="480"/>
        <w:rPr>
          <w:sz w:val="22"/>
          <w:szCs w:val="22"/>
        </w:rPr>
      </w:pPr>
      <w:r w:rsidRPr="00882387">
        <w:rPr>
          <w:color w:val="FF0000"/>
          <w:sz w:val="22"/>
          <w:szCs w:val="22"/>
        </w:rPr>
        <w:t>2025-01-15</w:t>
      </w:r>
      <w:r w:rsidRPr="00882387">
        <w:rPr>
          <w:color w:val="FF0000"/>
          <w:sz w:val="22"/>
          <w:szCs w:val="22"/>
        </w:rPr>
        <w:tab/>
        <w:t>House - Introduced</w:t>
      </w:r>
    </w:p>
    <w:p w:rsidR="00941357" w:rsidRDefault="00941357" w:rsidP="00957E79">
      <w:pPr>
        <w:pStyle w:val="BodyText"/>
        <w:spacing w:before="2"/>
        <w:ind w:left="480"/>
      </w:pPr>
    </w:p>
    <w:p w:rsidR="00941357" w:rsidRDefault="00941357" w:rsidP="00957E79">
      <w:pPr>
        <w:pStyle w:val="BodyText"/>
        <w:spacing w:before="2"/>
        <w:ind w:left="480"/>
      </w:pPr>
    </w:p>
    <w:p w:rsidR="00941357" w:rsidRDefault="00941357" w:rsidP="00957E79">
      <w:pPr>
        <w:pStyle w:val="BodyText"/>
        <w:spacing w:before="2"/>
        <w:ind w:left="480"/>
      </w:pPr>
    </w:p>
    <w:p w:rsidR="00957E79" w:rsidRDefault="00957E79" w:rsidP="00957E79">
      <w:pPr>
        <w:pStyle w:val="BodyText"/>
        <w:spacing w:before="2"/>
        <w:ind w:left="480"/>
      </w:pPr>
      <w:r>
        <w:lastRenderedPageBreak/>
        <w:t>_____________________________________________________________________________</w:t>
      </w:r>
    </w:p>
    <w:p w:rsidR="00882387" w:rsidRPr="00941357" w:rsidRDefault="00882387" w:rsidP="00882387">
      <w:pPr>
        <w:widowControl/>
        <w:autoSpaceDE/>
        <w:autoSpaceDN/>
        <w:ind w:firstLine="480"/>
        <w:rPr>
          <w:rFonts w:eastAsia="Times New Roman"/>
          <w:color w:val="1E1B1D"/>
        </w:rPr>
      </w:pPr>
      <w:hyperlink r:id="rId27" w:history="1">
        <w:r w:rsidRPr="00882387">
          <w:rPr>
            <w:rFonts w:ascii="Calibri" w:eastAsia="Times New Roman" w:hAnsi="Calibri" w:cs="Calibri"/>
            <w:color w:val="0563C1"/>
            <w:u w:val="single"/>
          </w:rPr>
          <w:t>HB2009</w:t>
        </w:r>
      </w:hyperlink>
      <w:r>
        <w:rPr>
          <w:rFonts w:ascii="Calibri" w:eastAsia="Times New Roman" w:hAnsi="Calibri" w:cs="Calibri"/>
          <w:color w:val="0563C1"/>
        </w:rPr>
        <w:tab/>
      </w:r>
      <w:r w:rsidRPr="00941357">
        <w:rPr>
          <w:rFonts w:eastAsia="Times New Roman"/>
          <w:color w:val="1E1B1D"/>
        </w:rPr>
        <w:t>Vehicle license tax; exemption; military</w:t>
      </w:r>
    </w:p>
    <w:p w:rsidR="00251A7F" w:rsidRPr="00941357" w:rsidRDefault="00251A7F" w:rsidP="00882387">
      <w:pPr>
        <w:widowControl/>
        <w:autoSpaceDE/>
        <w:autoSpaceDN/>
        <w:ind w:firstLine="480"/>
      </w:pPr>
    </w:p>
    <w:p w:rsidR="00882387" w:rsidRPr="00941357" w:rsidRDefault="00882387" w:rsidP="00882387">
      <w:pPr>
        <w:widowControl/>
        <w:autoSpaceDE/>
        <w:autoSpaceDN/>
        <w:ind w:left="480"/>
        <w:rPr>
          <w:rFonts w:eastAsia="Times New Roman"/>
          <w:color w:val="000000" w:themeColor="text1"/>
        </w:rPr>
      </w:pPr>
      <w:r w:rsidRPr="00882387">
        <w:rPr>
          <w:rFonts w:eastAsia="Times New Roman"/>
          <w:color w:val="000000" w:themeColor="text1"/>
        </w:rPr>
        <w:t>An Act amending section 28-5811, Arizona Revised Statutes; relating to vehicle license tax</w:t>
      </w:r>
      <w:r w:rsidRPr="00941357">
        <w:rPr>
          <w:rFonts w:eastAsia="Times New Roman"/>
          <w:color w:val="000000" w:themeColor="text1"/>
        </w:rPr>
        <w:t>.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882387" w:rsidRDefault="00882387" w:rsidP="00882387">
      <w:pPr>
        <w:widowControl/>
        <w:autoSpaceDE/>
        <w:autoSpaceDN/>
        <w:ind w:left="480"/>
        <w:rPr>
          <w:rFonts w:ascii="Segoe UI" w:eastAsia="Times New Roman" w:hAnsi="Segoe UI" w:cs="Segoe UI"/>
          <w:color w:val="000000" w:themeColor="text1"/>
        </w:rPr>
      </w:pPr>
    </w:p>
    <w:p w:rsidR="000A75B8" w:rsidRPr="00C24834" w:rsidRDefault="000A75B8" w:rsidP="000A75B8">
      <w:pPr>
        <w:pStyle w:val="BodyText"/>
        <w:spacing w:before="2"/>
        <w:ind w:left="480"/>
        <w:rPr>
          <w:b/>
        </w:rPr>
      </w:pPr>
      <w:r>
        <w:rPr>
          <w:b/>
        </w:rPr>
        <w:t xml:space="preserve">Primary Sponsor: </w:t>
      </w:r>
      <w:r w:rsidR="00882387">
        <w:rPr>
          <w:b/>
        </w:rPr>
        <w:t>Carter, Pamela</w:t>
      </w:r>
      <w:r w:rsidRPr="00C24834">
        <w:rPr>
          <w:b/>
        </w:rPr>
        <w:t xml:space="preserve"> </w:t>
      </w:r>
    </w:p>
    <w:p w:rsidR="00882387" w:rsidRPr="00910D71" w:rsidRDefault="00882387" w:rsidP="00882387">
      <w:pPr>
        <w:pStyle w:val="BodyText"/>
        <w:spacing w:before="2"/>
        <w:ind w:left="480"/>
        <w:rPr>
          <w:color w:val="FF0000"/>
          <w:sz w:val="22"/>
          <w:szCs w:val="22"/>
        </w:rPr>
      </w:pPr>
      <w:r w:rsidRPr="00910D71">
        <w:rPr>
          <w:color w:val="FF0000"/>
          <w:sz w:val="22"/>
          <w:szCs w:val="22"/>
        </w:rPr>
        <w:t>202</w:t>
      </w:r>
      <w:r>
        <w:rPr>
          <w:color w:val="FF0000"/>
          <w:sz w:val="22"/>
          <w:szCs w:val="22"/>
        </w:rPr>
        <w:t>5-01-15</w:t>
      </w:r>
      <w:r>
        <w:rPr>
          <w:color w:val="FF0000"/>
          <w:sz w:val="22"/>
          <w:szCs w:val="22"/>
        </w:rPr>
        <w:tab/>
        <w:t>House</w:t>
      </w:r>
      <w:r w:rsidRPr="00910D71">
        <w:rPr>
          <w:color w:val="FF0000"/>
          <w:sz w:val="22"/>
          <w:szCs w:val="22"/>
        </w:rPr>
        <w:t xml:space="preserve"> – Second Read</w:t>
      </w:r>
    </w:p>
    <w:p w:rsidR="00882387" w:rsidRPr="00910D71" w:rsidRDefault="00882387" w:rsidP="00882387">
      <w:pPr>
        <w:pStyle w:val="BodyText"/>
        <w:spacing w:before="2"/>
        <w:ind w:left="480"/>
        <w:rPr>
          <w:color w:val="FF0000"/>
          <w:sz w:val="22"/>
          <w:szCs w:val="22"/>
        </w:rPr>
      </w:pPr>
      <w:r>
        <w:rPr>
          <w:color w:val="FF0000"/>
          <w:sz w:val="22"/>
          <w:szCs w:val="22"/>
        </w:rPr>
        <w:t>2025-01-13</w:t>
      </w:r>
      <w:r>
        <w:rPr>
          <w:color w:val="FF0000"/>
          <w:sz w:val="22"/>
          <w:szCs w:val="22"/>
        </w:rPr>
        <w:tab/>
        <w:t>House</w:t>
      </w:r>
      <w:r w:rsidRPr="00910D71">
        <w:rPr>
          <w:color w:val="FF0000"/>
          <w:sz w:val="22"/>
          <w:szCs w:val="22"/>
        </w:rPr>
        <w:t xml:space="preserve"> – First Read</w:t>
      </w:r>
    </w:p>
    <w:p w:rsidR="00EC1FB2" w:rsidRDefault="00EC1FB2" w:rsidP="00EC1FB2">
      <w:pPr>
        <w:pStyle w:val="BodyText"/>
        <w:spacing w:before="2"/>
        <w:ind w:left="480"/>
      </w:pPr>
      <w:r>
        <w:t>______________________________________________________________________________</w:t>
      </w:r>
    </w:p>
    <w:p w:rsidR="00882387" w:rsidRPr="00941357" w:rsidRDefault="00882387" w:rsidP="00882387">
      <w:pPr>
        <w:widowControl/>
        <w:autoSpaceDE/>
        <w:autoSpaceDN/>
        <w:ind w:firstLine="480"/>
        <w:rPr>
          <w:rFonts w:ascii="Calibri" w:eastAsia="Times New Roman" w:hAnsi="Calibri" w:cs="Calibri"/>
          <w:color w:val="0563C1"/>
        </w:rPr>
      </w:pPr>
      <w:hyperlink r:id="rId28" w:history="1">
        <w:r w:rsidRPr="00882387">
          <w:rPr>
            <w:rFonts w:ascii="Calibri" w:eastAsia="Times New Roman" w:hAnsi="Calibri" w:cs="Calibri"/>
            <w:color w:val="0563C1"/>
            <w:u w:val="single"/>
          </w:rPr>
          <w:t>HB2030</w:t>
        </w:r>
      </w:hyperlink>
      <w:r>
        <w:rPr>
          <w:rFonts w:ascii="Calibri" w:eastAsia="Times New Roman" w:hAnsi="Calibri" w:cs="Calibri"/>
          <w:color w:val="0563C1"/>
        </w:rPr>
        <w:tab/>
      </w:r>
      <w:r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C24834" w:rsidRDefault="00A633A7" w:rsidP="00A633A7">
      <w:pPr>
        <w:pStyle w:val="BodyText"/>
        <w:spacing w:before="2"/>
        <w:ind w:left="480"/>
        <w:rPr>
          <w:b/>
        </w:rPr>
      </w:pPr>
      <w:r>
        <w:rPr>
          <w:b/>
        </w:rPr>
        <w:t xml:space="preserve">Primary Sponsor: </w:t>
      </w:r>
      <w:r w:rsidR="00882387">
        <w:rPr>
          <w:b/>
        </w:rPr>
        <w:t>Blackman, Walter</w:t>
      </w:r>
      <w:r w:rsidRPr="00C24834">
        <w:rPr>
          <w:b/>
        </w:rPr>
        <w:t xml:space="preserve"> </w:t>
      </w:r>
    </w:p>
    <w:p w:rsidR="00882387" w:rsidRPr="00910D71" w:rsidRDefault="00882387" w:rsidP="00882387">
      <w:pPr>
        <w:pStyle w:val="BodyText"/>
        <w:spacing w:before="2"/>
        <w:ind w:left="480"/>
        <w:rPr>
          <w:color w:val="FF0000"/>
          <w:sz w:val="22"/>
          <w:szCs w:val="22"/>
        </w:rPr>
      </w:pPr>
      <w:r>
        <w:rPr>
          <w:color w:val="FF0000"/>
          <w:sz w:val="22"/>
          <w:szCs w:val="22"/>
        </w:rPr>
        <w:t>2025-01-13</w:t>
      </w:r>
      <w:r>
        <w:rPr>
          <w:color w:val="FF0000"/>
          <w:sz w:val="22"/>
          <w:szCs w:val="22"/>
        </w:rPr>
        <w:tab/>
        <w:t>House</w:t>
      </w:r>
      <w:r w:rsidRPr="00910D71">
        <w:rPr>
          <w:color w:val="FF0000"/>
          <w:sz w:val="22"/>
          <w:szCs w:val="22"/>
        </w:rPr>
        <w:t xml:space="preserve"> –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882387" w:rsidP="007F21F3">
      <w:pPr>
        <w:widowControl/>
        <w:autoSpaceDE/>
        <w:autoSpaceDN/>
        <w:ind w:firstLine="480"/>
        <w:rPr>
          <w:rFonts w:eastAsia="Times New Roman"/>
          <w:color w:val="1E1B1D"/>
        </w:rPr>
      </w:pPr>
      <w:hyperlink r:id="rId29" w:history="1">
        <w:r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7F21F3" w:rsidRPr="007F21F3" w:rsidRDefault="007F21F3" w:rsidP="007F21F3">
      <w:pPr>
        <w:pStyle w:val="BodyText"/>
        <w:spacing w:before="2"/>
        <w:ind w:left="480"/>
        <w:rPr>
          <w:color w:val="FF0000"/>
          <w:sz w:val="22"/>
          <w:szCs w:val="22"/>
        </w:rPr>
      </w:pPr>
      <w:r w:rsidRPr="007F21F3">
        <w:rPr>
          <w:color w:val="FF0000"/>
          <w:sz w:val="22"/>
          <w:szCs w:val="22"/>
        </w:rPr>
        <w:t>2025-01-15</w:t>
      </w:r>
      <w:r w:rsidRPr="007F21F3">
        <w:rPr>
          <w:color w:val="FF0000"/>
          <w:sz w:val="22"/>
          <w:szCs w:val="22"/>
        </w:rPr>
        <w:tab/>
        <w:t>House – Second Read</w:t>
      </w:r>
    </w:p>
    <w:p w:rsidR="007F21F3" w:rsidRPr="007F21F3" w:rsidRDefault="007F21F3" w:rsidP="007F21F3">
      <w:pPr>
        <w:pStyle w:val="BodyText"/>
        <w:spacing w:before="2"/>
        <w:ind w:left="480"/>
        <w:rPr>
          <w:color w:val="FF0000"/>
          <w:sz w:val="22"/>
          <w:szCs w:val="22"/>
        </w:rPr>
      </w:pPr>
      <w:r w:rsidRPr="007F21F3">
        <w:rPr>
          <w:color w:val="FF0000"/>
          <w:sz w:val="22"/>
          <w:szCs w:val="22"/>
        </w:rPr>
        <w:t>2025-01-13</w:t>
      </w:r>
      <w:r w:rsidRPr="007F21F3">
        <w:rPr>
          <w:color w:val="FF0000"/>
          <w:sz w:val="22"/>
          <w:szCs w:val="22"/>
        </w:rPr>
        <w:tab/>
        <w:t>House – First Read</w:t>
      </w:r>
    </w:p>
    <w:p w:rsidR="00A633A7" w:rsidRDefault="00A633A7" w:rsidP="007F21F3">
      <w:pPr>
        <w:pStyle w:val="BodyText"/>
        <w:spacing w:before="2"/>
        <w:ind w:left="480"/>
      </w:pPr>
      <w:r>
        <w:t>_________________________________________________________________________</w:t>
      </w:r>
    </w:p>
    <w:p w:rsidR="007F21F3" w:rsidRPr="006436F0" w:rsidRDefault="007F21F3" w:rsidP="007F21F3">
      <w:pPr>
        <w:widowControl/>
        <w:autoSpaceDE/>
        <w:autoSpaceDN/>
        <w:ind w:firstLine="480"/>
        <w:rPr>
          <w:rFonts w:eastAsia="Times New Roman"/>
          <w:color w:val="1E1B1D"/>
        </w:rPr>
      </w:pPr>
      <w:hyperlink r:id="rId30" w:history="1">
        <w:r w:rsidRPr="007F21F3">
          <w:rPr>
            <w:rFonts w:ascii="Calibri" w:eastAsia="Times New Roman" w:hAnsi="Calibri" w:cs="Calibri"/>
            <w:color w:val="0563C1"/>
            <w:u w:val="single"/>
          </w:rPr>
          <w:t>HB2056</w:t>
        </w:r>
      </w:hyperlink>
      <w:r>
        <w:rPr>
          <w:rFonts w:ascii="Calibri" w:eastAsia="Times New Roman" w:hAnsi="Calibri" w:cs="Calibri"/>
          <w:color w:val="0563C1"/>
        </w:rPr>
        <w:tab/>
      </w:r>
      <w:r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C24834" w:rsidRDefault="00A46BDA" w:rsidP="007F21F3">
      <w:pPr>
        <w:widowControl/>
        <w:autoSpaceDE/>
        <w:autoSpaceDN/>
        <w:ind w:left="480"/>
        <w:rPr>
          <w:b/>
        </w:rPr>
      </w:pPr>
      <w:r w:rsidRPr="00C24834">
        <w:rPr>
          <w:b/>
        </w:rPr>
        <w:t xml:space="preserve">Primary Sponsor: </w:t>
      </w:r>
      <w:r w:rsidR="007F21F3">
        <w:rPr>
          <w:b/>
        </w:rPr>
        <w:t>Fink, Lisa</w:t>
      </w:r>
      <w:r w:rsidRPr="00C24834">
        <w:rPr>
          <w:b/>
        </w:rPr>
        <w:t xml:space="preserve"> </w:t>
      </w:r>
    </w:p>
    <w:p w:rsidR="007F21F3" w:rsidRPr="007F21F3" w:rsidRDefault="007F21F3" w:rsidP="007F21F3">
      <w:pPr>
        <w:pStyle w:val="BodyText"/>
        <w:spacing w:before="2"/>
        <w:ind w:left="480"/>
        <w:rPr>
          <w:color w:val="FF0000"/>
          <w:sz w:val="22"/>
          <w:szCs w:val="22"/>
        </w:rPr>
      </w:pPr>
      <w:r w:rsidRPr="007F21F3">
        <w:rPr>
          <w:color w:val="FF0000"/>
          <w:sz w:val="22"/>
          <w:szCs w:val="22"/>
        </w:rPr>
        <w:t>2025-01-15</w:t>
      </w:r>
      <w:r w:rsidRPr="007F21F3">
        <w:rPr>
          <w:color w:val="FF0000"/>
          <w:sz w:val="22"/>
          <w:szCs w:val="22"/>
        </w:rPr>
        <w:tab/>
        <w:t>House – Second Read</w:t>
      </w:r>
    </w:p>
    <w:p w:rsidR="007F21F3" w:rsidRPr="007F21F3" w:rsidRDefault="007F21F3" w:rsidP="007F21F3">
      <w:pPr>
        <w:pStyle w:val="BodyText"/>
        <w:spacing w:before="2"/>
        <w:ind w:left="480"/>
        <w:rPr>
          <w:color w:val="FF0000"/>
          <w:sz w:val="22"/>
          <w:szCs w:val="22"/>
        </w:rPr>
      </w:pPr>
      <w:r w:rsidRPr="007F21F3">
        <w:rPr>
          <w:color w:val="FF0000"/>
          <w:sz w:val="22"/>
          <w:szCs w:val="22"/>
        </w:rPr>
        <w:t>2025-01-1</w:t>
      </w:r>
      <w:r>
        <w:rPr>
          <w:color w:val="FF0000"/>
          <w:sz w:val="22"/>
          <w:szCs w:val="22"/>
        </w:rPr>
        <w:t>4</w:t>
      </w:r>
      <w:r w:rsidRPr="007F21F3">
        <w:rPr>
          <w:color w:val="FF0000"/>
          <w:sz w:val="22"/>
          <w:szCs w:val="22"/>
        </w:rPr>
        <w:tab/>
        <w:t>House – First Read</w:t>
      </w:r>
    </w:p>
    <w:p w:rsidR="006436F0" w:rsidRDefault="006436F0" w:rsidP="00162C26">
      <w:pPr>
        <w:pStyle w:val="BodyText"/>
        <w:spacing w:before="2"/>
        <w:ind w:left="480"/>
      </w:pPr>
    </w:p>
    <w:p w:rsidR="006436F0" w:rsidRDefault="006436F0" w:rsidP="00162C26">
      <w:pPr>
        <w:pStyle w:val="BodyText"/>
        <w:spacing w:before="2"/>
        <w:ind w:left="480"/>
      </w:pPr>
    </w:p>
    <w:p w:rsidR="006436F0" w:rsidRDefault="006436F0" w:rsidP="00162C26">
      <w:pPr>
        <w:pStyle w:val="BodyText"/>
        <w:spacing w:before="2"/>
        <w:ind w:left="480"/>
      </w:pPr>
    </w:p>
    <w:p w:rsidR="00162C26" w:rsidRDefault="00162C26" w:rsidP="00162C26">
      <w:pPr>
        <w:pStyle w:val="BodyText"/>
        <w:spacing w:before="2"/>
        <w:ind w:left="480"/>
      </w:pPr>
      <w:r>
        <w:lastRenderedPageBreak/>
        <w:t>______________________________________________________________________________</w:t>
      </w:r>
    </w:p>
    <w:p w:rsidR="002A7641" w:rsidRPr="006436F0" w:rsidRDefault="002A7641" w:rsidP="008A7AB3">
      <w:pPr>
        <w:widowControl/>
        <w:autoSpaceDE/>
        <w:autoSpaceDN/>
        <w:ind w:firstLine="480"/>
        <w:rPr>
          <w:rFonts w:eastAsia="Times New Roman"/>
          <w:color w:val="1E1B1D"/>
        </w:rPr>
      </w:pPr>
      <w:hyperlink r:id="rId31" w:history="1">
        <w:r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C24834" w:rsidRDefault="006D657C" w:rsidP="006D657C">
      <w:pPr>
        <w:pStyle w:val="BodyText"/>
        <w:spacing w:before="2"/>
        <w:ind w:left="480"/>
        <w:rPr>
          <w:b/>
        </w:rPr>
      </w:pPr>
      <w:r w:rsidRPr="00C24834">
        <w:rPr>
          <w:b/>
        </w:rPr>
        <w:t xml:space="preserve">Primary Sponsor: </w:t>
      </w:r>
      <w:r w:rsidR="008A7AB3">
        <w:rPr>
          <w:b/>
        </w:rPr>
        <w:t>Livingston, David</w:t>
      </w:r>
    </w:p>
    <w:p w:rsidR="008A7AB3" w:rsidRPr="007F21F3" w:rsidRDefault="008A7AB3" w:rsidP="008A7AB3">
      <w:pPr>
        <w:pStyle w:val="BodyText"/>
        <w:spacing w:before="2"/>
        <w:ind w:left="480"/>
        <w:rPr>
          <w:color w:val="FF0000"/>
          <w:sz w:val="22"/>
          <w:szCs w:val="22"/>
        </w:rPr>
      </w:pPr>
      <w:r w:rsidRPr="007F21F3">
        <w:rPr>
          <w:color w:val="FF0000"/>
          <w:sz w:val="22"/>
          <w:szCs w:val="22"/>
        </w:rPr>
        <w:t>2025-01-15</w:t>
      </w:r>
      <w:r w:rsidRPr="007F21F3">
        <w:rPr>
          <w:color w:val="FF0000"/>
          <w:sz w:val="22"/>
          <w:szCs w:val="22"/>
        </w:rPr>
        <w:tab/>
        <w:t>House – Second Read</w:t>
      </w:r>
    </w:p>
    <w:p w:rsidR="008A7AB3" w:rsidRPr="007F21F3" w:rsidRDefault="008A7AB3" w:rsidP="008A7AB3">
      <w:pPr>
        <w:pStyle w:val="BodyText"/>
        <w:spacing w:before="2"/>
        <w:ind w:left="480"/>
        <w:rPr>
          <w:color w:val="FF0000"/>
          <w:sz w:val="22"/>
          <w:szCs w:val="22"/>
        </w:rPr>
      </w:pPr>
      <w:r w:rsidRPr="007F21F3">
        <w:rPr>
          <w:color w:val="FF0000"/>
          <w:sz w:val="22"/>
          <w:szCs w:val="22"/>
        </w:rPr>
        <w:t>2025-01-13</w:t>
      </w:r>
      <w:r w:rsidRPr="007F21F3">
        <w:rPr>
          <w:color w:val="FF0000"/>
          <w:sz w:val="22"/>
          <w:szCs w:val="22"/>
        </w:rPr>
        <w:tab/>
        <w:t>House – First Read</w:t>
      </w:r>
    </w:p>
    <w:p w:rsidR="006D657C" w:rsidRDefault="006D657C" w:rsidP="006D657C">
      <w:pPr>
        <w:pStyle w:val="BodyText"/>
        <w:spacing w:before="2"/>
        <w:ind w:left="480"/>
      </w:pPr>
      <w:r>
        <w:t>______________________________________________________________________________</w:t>
      </w:r>
    </w:p>
    <w:p w:rsidR="00842CB6" w:rsidRPr="00041A5D" w:rsidRDefault="00842CB6" w:rsidP="00842CB6">
      <w:pPr>
        <w:widowControl/>
        <w:autoSpaceDE/>
        <w:autoSpaceDN/>
        <w:ind w:firstLine="480"/>
        <w:rPr>
          <w:rFonts w:ascii="Calibri" w:eastAsia="Times New Roman" w:hAnsi="Calibri" w:cs="Calibri"/>
          <w:color w:val="0563C1"/>
        </w:rPr>
      </w:pPr>
      <w:hyperlink r:id="rId32" w:history="1">
        <w:r w:rsidRPr="00842CB6">
          <w:rPr>
            <w:rFonts w:ascii="Calibri" w:eastAsia="Times New Roman" w:hAnsi="Calibri" w:cs="Calibri"/>
            <w:color w:val="0563C1"/>
            <w:u w:val="single"/>
          </w:rPr>
          <w:t>HB2111</w:t>
        </w:r>
      </w:hyperlink>
      <w:r>
        <w:rPr>
          <w:rFonts w:ascii="Calibri" w:eastAsia="Times New Roman" w:hAnsi="Calibri" w:cs="Calibri"/>
          <w:color w:val="0563C1"/>
        </w:rPr>
        <w:tab/>
      </w:r>
      <w:r w:rsidRPr="00041A5D">
        <w:rPr>
          <w:rFonts w:eastAsia="Times New Roman"/>
          <w:color w:val="1E1B1D"/>
        </w:rPr>
        <w:t>Su</w:t>
      </w:r>
      <w:r w:rsidRPr="00842CB6">
        <w:rPr>
          <w:rFonts w:eastAsia="Times New Roman"/>
          <w:color w:val="1E1B1D"/>
        </w:rPr>
        <w:t>icide prevention special plate</w:t>
      </w:r>
    </w:p>
    <w:p w:rsidR="00842CB6" w:rsidRPr="00041A5D" w:rsidRDefault="00842CB6" w:rsidP="00842CB6">
      <w:pPr>
        <w:widowControl/>
        <w:autoSpaceDE/>
        <w:autoSpaceDN/>
        <w:rPr>
          <w:rFonts w:ascii="Segoe UI" w:eastAsia="Times New Roman" w:hAnsi="Segoe UI" w:cs="Segoe UI"/>
          <w:color w:val="4F657B"/>
        </w:rPr>
      </w:pPr>
    </w:p>
    <w:p w:rsidR="00842CB6" w:rsidRPr="00041A5D" w:rsidRDefault="00842CB6" w:rsidP="00842CB6">
      <w:pPr>
        <w:widowControl/>
        <w:autoSpaceDE/>
        <w:autoSpaceDN/>
        <w:ind w:left="480"/>
        <w:rPr>
          <w:rFonts w:eastAsia="Times New Roman"/>
          <w:color w:val="000000" w:themeColor="text1"/>
        </w:rPr>
      </w:pPr>
      <w:r w:rsidRPr="00842CB6">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041A5D">
        <w:rPr>
          <w:color w:val="000000" w:themeColor="text1"/>
        </w:rPr>
        <w:t xml:space="preserve"> </w:t>
      </w:r>
      <w:r w:rsidRPr="00041A5D">
        <w:rPr>
          <w:rFonts w:eastAsia="Times New Roman"/>
          <w:color w:val="000000" w:themeColor="text1"/>
        </w:rPr>
        <w:t xml:space="preserve">988 Suicide Awareness Special Plates. </w:t>
      </w:r>
    </w:p>
    <w:p w:rsidR="00842CB6" w:rsidRPr="00842CB6" w:rsidRDefault="00842CB6" w:rsidP="00842CB6">
      <w:pPr>
        <w:widowControl/>
        <w:autoSpaceDE/>
        <w:autoSpaceDN/>
        <w:rPr>
          <w:rFonts w:eastAsia="Times New Roman"/>
          <w:color w:val="000000" w:themeColor="text1"/>
        </w:rPr>
      </w:pPr>
    </w:p>
    <w:p w:rsidR="00842CB6" w:rsidRPr="00842CB6" w:rsidRDefault="00842CB6" w:rsidP="00842CB6">
      <w:pPr>
        <w:widowControl/>
        <w:autoSpaceDE/>
        <w:autoSpaceDN/>
        <w:ind w:firstLine="480"/>
        <w:rPr>
          <w:rFonts w:eastAsia="Times New Roman"/>
          <w:b/>
          <w:color w:val="000000" w:themeColor="text1"/>
        </w:rPr>
      </w:pPr>
      <w:r w:rsidRPr="00842CB6">
        <w:rPr>
          <w:b/>
          <w:color w:val="000000" w:themeColor="text1"/>
        </w:rPr>
        <w:t xml:space="preserve">Primary Sponsor: </w:t>
      </w:r>
      <w:proofErr w:type="spellStart"/>
      <w:r w:rsidR="00AF63EE">
        <w:rPr>
          <w:rFonts w:eastAsia="Times New Roman"/>
          <w:b/>
          <w:color w:val="000000" w:themeColor="text1"/>
        </w:rPr>
        <w:t>Biasiucci</w:t>
      </w:r>
      <w:proofErr w:type="spellEnd"/>
      <w:r w:rsidR="00AF63EE">
        <w:rPr>
          <w:rFonts w:eastAsia="Times New Roman"/>
          <w:b/>
          <w:color w:val="000000" w:themeColor="text1"/>
        </w:rPr>
        <w:t xml:space="preserve">, Leo </w:t>
      </w:r>
    </w:p>
    <w:p w:rsidR="00842CB6" w:rsidRPr="007F21F3" w:rsidRDefault="00842CB6" w:rsidP="00842CB6">
      <w:pPr>
        <w:pStyle w:val="BodyText"/>
        <w:spacing w:before="2"/>
        <w:ind w:left="480"/>
        <w:rPr>
          <w:color w:val="FF0000"/>
          <w:sz w:val="22"/>
          <w:szCs w:val="22"/>
        </w:rPr>
      </w:pPr>
      <w:r>
        <w:rPr>
          <w:color w:val="FF0000"/>
          <w:sz w:val="22"/>
          <w:szCs w:val="22"/>
        </w:rPr>
        <w:t>2025-01-16</w:t>
      </w:r>
      <w:r w:rsidRPr="007F21F3">
        <w:rPr>
          <w:color w:val="FF0000"/>
          <w:sz w:val="22"/>
          <w:szCs w:val="22"/>
        </w:rPr>
        <w:tab/>
        <w:t>House – First Read</w:t>
      </w:r>
    </w:p>
    <w:p w:rsidR="006D657C" w:rsidRDefault="006D657C" w:rsidP="006D657C">
      <w:pPr>
        <w:pStyle w:val="BodyText"/>
        <w:spacing w:before="2"/>
        <w:ind w:left="480"/>
      </w:pPr>
      <w:r w:rsidRPr="00956A0C">
        <w:rPr>
          <w:color w:val="000000" w:themeColor="text1"/>
        </w:rPr>
        <w:t>_____________________________________________________________________________</w:t>
      </w:r>
    </w:p>
    <w:p w:rsidR="00842CB6" w:rsidRPr="00041A5D" w:rsidRDefault="00842CB6" w:rsidP="00842CB6">
      <w:pPr>
        <w:widowControl/>
        <w:autoSpaceDE/>
        <w:autoSpaceDN/>
        <w:ind w:firstLine="480"/>
        <w:rPr>
          <w:rFonts w:eastAsia="Times New Roman"/>
          <w:color w:val="1E1B1D"/>
        </w:rPr>
      </w:pPr>
      <w:hyperlink r:id="rId33" w:history="1">
        <w:r w:rsidRPr="00842CB6">
          <w:rPr>
            <w:rFonts w:ascii="Calibri" w:eastAsia="Times New Roman" w:hAnsi="Calibri" w:cs="Calibri"/>
            <w:color w:val="0563C1"/>
            <w:u w:val="single"/>
          </w:rPr>
          <w:t>HB2113</w:t>
        </w:r>
      </w:hyperlink>
      <w:r>
        <w:rPr>
          <w:rFonts w:ascii="Calibri" w:eastAsia="Times New Roman" w:hAnsi="Calibri" w:cs="Calibri"/>
          <w:color w:val="0563C1"/>
        </w:rPr>
        <w:tab/>
      </w:r>
      <w:r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842CB6" w:rsidRPr="007F21F3" w:rsidRDefault="00D303DE" w:rsidP="00842CB6">
      <w:pPr>
        <w:widowControl/>
        <w:autoSpaceDE/>
        <w:autoSpaceDN/>
        <w:ind w:firstLine="480"/>
        <w:rPr>
          <w:color w:val="FF0000"/>
        </w:rPr>
      </w:pPr>
      <w:r>
        <w:rPr>
          <w:color w:val="FF0000"/>
        </w:rPr>
        <w:t>2025-01-15</w:t>
      </w:r>
      <w:r w:rsidR="00842CB6" w:rsidRPr="007F21F3">
        <w:rPr>
          <w:color w:val="FF0000"/>
        </w:rPr>
        <w:tab/>
        <w:t>House – First Read</w:t>
      </w:r>
    </w:p>
    <w:p w:rsidR="006D657C" w:rsidRPr="00D16474" w:rsidRDefault="006D657C" w:rsidP="006D657C">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D303DE" w:rsidRDefault="00D303DE" w:rsidP="00D303DE">
      <w:pPr>
        <w:widowControl/>
        <w:autoSpaceDE/>
        <w:autoSpaceDN/>
        <w:ind w:firstLine="480"/>
        <w:rPr>
          <w:rFonts w:eastAsia="Times New Roman"/>
          <w:color w:val="1E1B1D"/>
        </w:rPr>
      </w:pPr>
      <w:hyperlink r:id="rId34" w:history="1">
        <w:r w:rsidRPr="00D303DE">
          <w:rPr>
            <w:rFonts w:ascii="Calibri" w:eastAsia="Times New Roman" w:hAnsi="Calibri" w:cs="Calibri"/>
            <w:color w:val="0563C1"/>
            <w:u w:val="single"/>
          </w:rPr>
          <w:t>HB2133</w:t>
        </w:r>
      </w:hyperlink>
      <w:r>
        <w:rPr>
          <w:rFonts w:ascii="Calibri" w:eastAsia="Times New Roman" w:hAnsi="Calibri" w:cs="Calibri"/>
          <w:color w:val="0563C1"/>
        </w:rPr>
        <w:tab/>
      </w:r>
      <w:r w:rsidRPr="00D303DE">
        <w:rPr>
          <w:rFonts w:eastAsia="Times New Roman"/>
          <w:color w:val="1E1B1D"/>
        </w:rPr>
        <w:t>Nurses; provisional licensure</w:t>
      </w:r>
    </w:p>
    <w:p w:rsidR="00D303DE" w:rsidRPr="00D303DE" w:rsidRDefault="00D303DE" w:rsidP="00D303DE">
      <w:pPr>
        <w:widowControl/>
        <w:autoSpaceDE/>
        <w:autoSpaceDN/>
        <w:rPr>
          <w:rFonts w:ascii="Segoe UI" w:eastAsia="Times New Roman" w:hAnsi="Segoe UI" w:cs="Segoe UI"/>
          <w:color w:val="4F657B"/>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D303DE" w:rsidRDefault="00D303DE" w:rsidP="00D303DE">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Bliss, Selina </w:t>
      </w:r>
      <w:r w:rsidRPr="00842CB6">
        <w:rPr>
          <w:rFonts w:eastAsia="Times New Roman"/>
          <w:b/>
          <w:color w:val="000000" w:themeColor="text1"/>
        </w:rPr>
        <w:t xml:space="preserve">  </w:t>
      </w:r>
    </w:p>
    <w:p w:rsidR="00D303DE" w:rsidRPr="007F21F3" w:rsidRDefault="00D303DE" w:rsidP="00D303DE">
      <w:pPr>
        <w:widowControl/>
        <w:autoSpaceDE/>
        <w:autoSpaceDN/>
        <w:ind w:firstLine="480"/>
        <w:rPr>
          <w:color w:val="FF0000"/>
        </w:rPr>
      </w:pPr>
      <w:r>
        <w:rPr>
          <w:color w:val="FF0000"/>
        </w:rPr>
        <w:t>2025-01-15</w:t>
      </w:r>
      <w:r w:rsidRPr="007F21F3">
        <w:rPr>
          <w:color w:val="FF0000"/>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D303DE" w:rsidP="00FD1CE9">
      <w:pPr>
        <w:widowControl/>
        <w:autoSpaceDE/>
        <w:autoSpaceDN/>
        <w:ind w:firstLine="480"/>
        <w:rPr>
          <w:rFonts w:eastAsia="Times New Roman"/>
          <w:color w:val="1E1B1D"/>
        </w:rPr>
      </w:pPr>
      <w:hyperlink r:id="rId35" w:history="1">
        <w:r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Blackman, Walter</w:t>
      </w:r>
      <w:r>
        <w:rPr>
          <w:rFonts w:eastAsia="Times New Roman"/>
          <w:b/>
          <w:color w:val="000000" w:themeColor="text1"/>
        </w:rPr>
        <w:t xml:space="preserve"> </w:t>
      </w:r>
      <w:r w:rsidRPr="00842CB6">
        <w:rPr>
          <w:rFonts w:eastAsia="Times New Roman"/>
          <w:b/>
          <w:color w:val="000000" w:themeColor="text1"/>
        </w:rPr>
        <w:t xml:space="preserve">  </w:t>
      </w:r>
    </w:p>
    <w:p w:rsidR="00FD1CE9" w:rsidRPr="007F21F3" w:rsidRDefault="00FD1CE9" w:rsidP="00FD1CE9">
      <w:pPr>
        <w:widowControl/>
        <w:autoSpaceDE/>
        <w:autoSpaceDN/>
        <w:ind w:firstLine="480"/>
        <w:rPr>
          <w:color w:val="FF0000"/>
        </w:rPr>
      </w:pPr>
      <w:r>
        <w:rPr>
          <w:color w:val="FF0000"/>
        </w:rPr>
        <w:t>2025-01-15</w:t>
      </w:r>
      <w:r w:rsidRPr="007F21F3">
        <w:rPr>
          <w:color w:val="FF0000"/>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1CE9" w:rsidRPr="00041A5D" w:rsidRDefault="00FD1CE9" w:rsidP="00FD1CE9">
      <w:pPr>
        <w:widowControl/>
        <w:autoSpaceDE/>
        <w:autoSpaceDN/>
        <w:ind w:firstLine="480"/>
        <w:rPr>
          <w:rFonts w:eastAsia="Times New Roman"/>
          <w:color w:val="1E1B1D"/>
        </w:rPr>
      </w:pPr>
      <w:hyperlink r:id="rId36" w:history="1">
        <w:r w:rsidRPr="00FD1CE9">
          <w:rPr>
            <w:rFonts w:ascii="Calibri" w:eastAsia="Times New Roman" w:hAnsi="Calibri" w:cs="Calibri"/>
            <w:color w:val="0563C1"/>
            <w:u w:val="single"/>
          </w:rPr>
          <w:t>HB2149</w:t>
        </w:r>
      </w:hyperlink>
      <w:r>
        <w:rPr>
          <w:rFonts w:ascii="Calibri" w:eastAsia="Times New Roman" w:hAnsi="Calibri" w:cs="Calibri"/>
          <w:color w:val="0563C1"/>
        </w:rPr>
        <w:tab/>
      </w:r>
      <w:r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7F21F3" w:rsidRDefault="00FD1CE9" w:rsidP="00FD1CE9">
      <w:pPr>
        <w:widowControl/>
        <w:autoSpaceDE/>
        <w:autoSpaceDN/>
        <w:ind w:firstLine="480"/>
        <w:rPr>
          <w:color w:val="FF0000"/>
        </w:rPr>
      </w:pPr>
      <w:r>
        <w:rPr>
          <w:color w:val="FF0000"/>
        </w:rPr>
        <w:t>2025-01-15</w:t>
      </w:r>
      <w:r w:rsidRPr="007F21F3">
        <w:rPr>
          <w:color w:val="FF0000"/>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AF63EE" w:rsidP="00AF63EE">
      <w:pPr>
        <w:widowControl/>
        <w:autoSpaceDE/>
        <w:autoSpaceDN/>
        <w:ind w:firstLine="480"/>
        <w:rPr>
          <w:rFonts w:eastAsia="Times New Roman"/>
          <w:color w:val="1E1B1D"/>
        </w:rPr>
      </w:pPr>
      <w:hyperlink r:id="rId37" w:history="1">
        <w:r w:rsidRPr="00AF63EE">
          <w:rPr>
            <w:rFonts w:ascii="Calibri" w:eastAsia="Times New Roman" w:hAnsi="Calibri" w:cs="Calibri"/>
            <w:color w:val="0563C1"/>
            <w:u w:val="single"/>
          </w:rPr>
          <w:t>HB2188</w:t>
        </w:r>
      </w:hyperlink>
      <w:r>
        <w:rPr>
          <w:rFonts w:ascii="Calibri" w:eastAsia="Times New Roman" w:hAnsi="Calibri" w:cs="Calibri"/>
          <w:color w:val="0563C1"/>
        </w:rPr>
        <w:tab/>
      </w:r>
      <w:r w:rsidRPr="00041A5D">
        <w:rPr>
          <w:rFonts w:eastAsia="Times New Roman"/>
          <w:color w:val="1E1B1D"/>
        </w:rPr>
        <w:t>N</w:t>
      </w:r>
      <w:r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Alexander</w:t>
      </w:r>
      <w:r>
        <w:rPr>
          <w:rFonts w:eastAsia="Times New Roman"/>
          <w:b/>
          <w:color w:val="000000" w:themeColor="text1"/>
        </w:rPr>
        <w:t xml:space="preserve"> </w:t>
      </w:r>
      <w:r w:rsidRPr="00842CB6">
        <w:rPr>
          <w:rFonts w:eastAsia="Times New Roman"/>
          <w:b/>
          <w:color w:val="000000" w:themeColor="text1"/>
        </w:rPr>
        <w:t xml:space="preserve">  </w:t>
      </w:r>
    </w:p>
    <w:p w:rsidR="00AF63EE" w:rsidRPr="007F21F3" w:rsidRDefault="00AF63EE" w:rsidP="00AF63EE">
      <w:pPr>
        <w:widowControl/>
        <w:autoSpaceDE/>
        <w:autoSpaceDN/>
        <w:ind w:firstLine="480"/>
        <w:rPr>
          <w:color w:val="FF0000"/>
        </w:rPr>
      </w:pPr>
      <w:r>
        <w:rPr>
          <w:color w:val="FF0000"/>
        </w:rPr>
        <w:t>2025-01-14</w:t>
      </w:r>
      <w:r w:rsidRPr="007F21F3">
        <w:rPr>
          <w:color w:val="FF0000"/>
        </w:rPr>
        <w:tab/>
        <w:t xml:space="preserve">House – </w:t>
      </w:r>
      <w:r>
        <w:rPr>
          <w:color w:val="FF0000"/>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AF63EE" w:rsidP="00AF63EE">
      <w:pPr>
        <w:widowControl/>
        <w:autoSpaceDE/>
        <w:autoSpaceDN/>
        <w:ind w:firstLine="480"/>
        <w:rPr>
          <w:rFonts w:ascii="Calibri" w:eastAsia="Times New Roman" w:hAnsi="Calibri" w:cs="Calibri"/>
          <w:color w:val="0563C1"/>
        </w:rPr>
      </w:pPr>
      <w:hyperlink r:id="rId38" w:history="1">
        <w:r w:rsidRPr="00AF63EE">
          <w:rPr>
            <w:rFonts w:ascii="Calibri" w:eastAsia="Times New Roman" w:hAnsi="Calibri" w:cs="Calibri"/>
            <w:color w:val="0563C1"/>
            <w:u w:val="single"/>
          </w:rPr>
          <w:t>HB2217</w:t>
        </w:r>
      </w:hyperlink>
      <w:r>
        <w:rPr>
          <w:rFonts w:ascii="Calibri" w:eastAsia="Times New Roman" w:hAnsi="Calibri" w:cs="Calibri"/>
          <w:color w:val="0563C1"/>
        </w:rPr>
        <w:tab/>
      </w:r>
      <w:r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AF63EE" w:rsidRPr="00AF63EE" w:rsidRDefault="00AF63EE" w:rsidP="00AF63EE">
      <w:pPr>
        <w:widowControl/>
        <w:autoSpaceDE/>
        <w:autoSpaceDN/>
        <w:ind w:firstLine="480"/>
        <w:rPr>
          <w:color w:val="FF0000"/>
        </w:rPr>
      </w:pPr>
      <w:r w:rsidRPr="00AF63EE">
        <w:rPr>
          <w:color w:val="FF0000"/>
        </w:rPr>
        <w:t>2025-01-15</w:t>
      </w:r>
      <w:r w:rsidRPr="00AF63EE">
        <w:rPr>
          <w:color w:val="FF0000"/>
        </w:rPr>
        <w:tab/>
        <w:t>House – First Read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AF63EE" w:rsidP="00AF63EE">
      <w:pPr>
        <w:widowControl/>
        <w:autoSpaceDE/>
        <w:autoSpaceDN/>
        <w:ind w:firstLine="480"/>
        <w:rPr>
          <w:rFonts w:ascii="Calibri" w:eastAsia="Times New Roman" w:hAnsi="Calibri" w:cs="Calibri"/>
          <w:color w:val="0563C1"/>
        </w:rPr>
      </w:pPr>
      <w:hyperlink r:id="rId39" w:history="1">
        <w:r w:rsidRPr="00AF63EE">
          <w:rPr>
            <w:rFonts w:ascii="Calibri" w:eastAsia="Times New Roman" w:hAnsi="Calibri" w:cs="Calibri"/>
            <w:color w:val="0563C1"/>
            <w:u w:val="single"/>
          </w:rPr>
          <w:t>HB2245</w:t>
        </w:r>
      </w:hyperlink>
      <w:r>
        <w:rPr>
          <w:rFonts w:ascii="Calibri" w:eastAsia="Times New Roman" w:hAnsi="Calibri" w:cs="Calibri"/>
          <w:color w:val="0563C1"/>
        </w:rPr>
        <w:tab/>
      </w:r>
      <w:r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AF63EE" w:rsidRPr="007F21F3" w:rsidRDefault="00B96799" w:rsidP="00AF63EE">
      <w:pPr>
        <w:widowControl/>
        <w:autoSpaceDE/>
        <w:autoSpaceDN/>
        <w:ind w:firstLine="480"/>
        <w:rPr>
          <w:color w:val="FF0000"/>
        </w:rPr>
      </w:pPr>
      <w:r>
        <w:rPr>
          <w:color w:val="FF0000"/>
        </w:rPr>
        <w:t>2025-01-15</w:t>
      </w:r>
      <w:r w:rsidR="00AF63EE" w:rsidRPr="007F21F3">
        <w:rPr>
          <w:color w:val="FF0000"/>
        </w:rPr>
        <w:tab/>
        <w:t xml:space="preserve">House – </w:t>
      </w:r>
      <w:r w:rsidR="00AF63EE">
        <w:rPr>
          <w:color w:val="FF0000"/>
        </w:rPr>
        <w:t>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B96799" w:rsidP="00B96799">
      <w:pPr>
        <w:widowControl/>
        <w:autoSpaceDE/>
        <w:autoSpaceDN/>
        <w:ind w:firstLine="480"/>
        <w:rPr>
          <w:rFonts w:eastAsia="Times New Roman"/>
          <w:color w:val="1E1B1D"/>
        </w:rPr>
      </w:pPr>
      <w:hyperlink r:id="rId40" w:history="1">
        <w:r w:rsidRPr="00B96799">
          <w:rPr>
            <w:rFonts w:ascii="Calibri" w:eastAsia="Times New Roman" w:hAnsi="Calibri" w:cs="Calibri"/>
            <w:color w:val="0563C1"/>
            <w:u w:val="single"/>
          </w:rPr>
          <w:t>HB2261</w:t>
        </w:r>
      </w:hyperlink>
      <w:r>
        <w:rPr>
          <w:rFonts w:ascii="Calibri" w:eastAsia="Times New Roman" w:hAnsi="Calibri" w:cs="Calibri"/>
          <w:color w:val="0563C1"/>
        </w:rPr>
        <w:tab/>
      </w:r>
      <w:r w:rsidRPr="00B96799">
        <w:rPr>
          <w:rFonts w:eastAsia="Times New Roman"/>
          <w:color w:val="1E1B1D"/>
        </w:rPr>
        <w:t>Medical marijuana; fee; exemption; veterans</w:t>
      </w:r>
    </w:p>
    <w:p w:rsidR="00B96799" w:rsidRPr="00B96799" w:rsidRDefault="00B96799" w:rsidP="00B96799">
      <w:pPr>
        <w:widowControl/>
        <w:autoSpaceDE/>
        <w:autoSpaceDN/>
        <w:rPr>
          <w:rFonts w:ascii="Calibri" w:eastAsia="Times New Roman" w:hAnsi="Calibri" w:cs="Calibri"/>
          <w:color w:val="0563C1"/>
          <w:u w:val="single"/>
        </w:rPr>
      </w:pPr>
    </w:p>
    <w:p w:rsidR="00B96799" w:rsidRPr="00B96799" w:rsidRDefault="00B96799" w:rsidP="00B96799">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AF63EE" w:rsidRPr="00B96799"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sidRPr="00B96799">
        <w:rPr>
          <w:rFonts w:eastAsia="Times New Roman"/>
          <w:b/>
          <w:color w:val="000000" w:themeColor="text1"/>
        </w:rPr>
        <w:t>Hernandez</w:t>
      </w:r>
      <w:r w:rsidR="00B96799">
        <w:rPr>
          <w:rFonts w:eastAsia="Times New Roman"/>
          <w:b/>
          <w:color w:val="000000" w:themeColor="text1"/>
        </w:rPr>
        <w:t>, Consuelo</w:t>
      </w:r>
      <w:r>
        <w:rPr>
          <w:rFonts w:eastAsia="Times New Roman"/>
          <w:b/>
          <w:color w:val="000000" w:themeColor="text1"/>
        </w:rPr>
        <w:t xml:space="preserve"> </w:t>
      </w:r>
      <w:r w:rsidRPr="00842CB6">
        <w:rPr>
          <w:rFonts w:eastAsia="Times New Roman"/>
          <w:b/>
          <w:color w:val="000000" w:themeColor="text1"/>
        </w:rPr>
        <w:t xml:space="preserve">  </w:t>
      </w:r>
    </w:p>
    <w:p w:rsidR="00AF63EE" w:rsidRPr="007F21F3" w:rsidRDefault="00B96799" w:rsidP="00AF63EE">
      <w:pPr>
        <w:widowControl/>
        <w:autoSpaceDE/>
        <w:autoSpaceDN/>
        <w:ind w:firstLine="480"/>
        <w:rPr>
          <w:color w:val="FF0000"/>
        </w:rPr>
      </w:pPr>
      <w:r>
        <w:rPr>
          <w:color w:val="FF0000"/>
        </w:rPr>
        <w:t>2025-01-15</w:t>
      </w:r>
      <w:r w:rsidR="00AF63EE" w:rsidRPr="007F21F3">
        <w:rPr>
          <w:color w:val="FF0000"/>
        </w:rPr>
        <w:tab/>
        <w:t xml:space="preserve">House – </w:t>
      </w:r>
      <w:r w:rsidR="00AF63EE">
        <w:rPr>
          <w:color w:val="FF0000"/>
        </w:rPr>
        <w:t>Introduced</w:t>
      </w:r>
    </w:p>
    <w:p w:rsidR="00041A5D" w:rsidRDefault="00041A5D" w:rsidP="00AF63EE">
      <w:pPr>
        <w:pStyle w:val="BodyText"/>
        <w:spacing w:before="2"/>
        <w:ind w:left="480"/>
      </w:pPr>
    </w:p>
    <w:p w:rsidR="00041A5D" w:rsidRDefault="00041A5D" w:rsidP="00AF63EE">
      <w:pPr>
        <w:pStyle w:val="BodyText"/>
        <w:spacing w:before="2"/>
        <w:ind w:left="480"/>
      </w:pPr>
    </w:p>
    <w:p w:rsidR="00041A5D" w:rsidRDefault="00041A5D" w:rsidP="00AF63EE">
      <w:pPr>
        <w:pStyle w:val="BodyText"/>
        <w:spacing w:before="2"/>
        <w:ind w:left="480"/>
      </w:pPr>
    </w:p>
    <w:p w:rsidR="00041A5D" w:rsidRDefault="00041A5D" w:rsidP="00AF63EE">
      <w:pPr>
        <w:pStyle w:val="BodyText"/>
        <w:spacing w:before="2"/>
        <w:ind w:left="480"/>
      </w:pPr>
    </w:p>
    <w:p w:rsidR="00AF63EE" w:rsidRPr="00D16474" w:rsidRDefault="00AF63EE" w:rsidP="00AF63EE">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B96799" w:rsidRPr="00B96799" w:rsidRDefault="00B96799" w:rsidP="00B96799">
      <w:pPr>
        <w:widowControl/>
        <w:autoSpaceDE/>
        <w:autoSpaceDN/>
        <w:ind w:firstLine="480"/>
        <w:rPr>
          <w:rFonts w:eastAsia="Times New Roman"/>
          <w:color w:val="1E1B1D"/>
        </w:rPr>
      </w:pPr>
      <w:hyperlink r:id="rId41" w:history="1">
        <w:r w:rsidRPr="00B96799">
          <w:rPr>
            <w:rFonts w:ascii="Calibri" w:eastAsia="Times New Roman" w:hAnsi="Calibri" w:cs="Calibri"/>
            <w:color w:val="0563C1"/>
            <w:u w:val="single"/>
          </w:rPr>
          <w:t>HB2296</w:t>
        </w:r>
      </w:hyperlink>
      <w:r>
        <w:rPr>
          <w:rFonts w:ascii="Calibri" w:eastAsia="Times New Roman" w:hAnsi="Calibri" w:cs="Calibri"/>
          <w:color w:val="0563C1"/>
        </w:rPr>
        <w:tab/>
      </w:r>
      <w:r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AF63EE" w:rsidRPr="007F21F3" w:rsidRDefault="00B96799" w:rsidP="00AF63EE">
      <w:pPr>
        <w:widowControl/>
        <w:autoSpaceDE/>
        <w:autoSpaceDN/>
        <w:ind w:firstLine="480"/>
        <w:rPr>
          <w:color w:val="FF0000"/>
        </w:rPr>
      </w:pPr>
      <w:r>
        <w:rPr>
          <w:color w:val="FF0000"/>
        </w:rPr>
        <w:t>2025-01-15</w:t>
      </w:r>
      <w:r w:rsidR="00AF63EE" w:rsidRPr="007F21F3">
        <w:rPr>
          <w:color w:val="FF0000"/>
        </w:rPr>
        <w:tab/>
        <w:t xml:space="preserve">House – </w:t>
      </w:r>
      <w:r w:rsidR="00AF63EE">
        <w:rPr>
          <w:color w:val="FF0000"/>
        </w:rPr>
        <w:t>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B96799" w:rsidP="00B96799">
      <w:pPr>
        <w:widowControl/>
        <w:autoSpaceDE/>
        <w:autoSpaceDN/>
        <w:ind w:firstLine="480"/>
        <w:rPr>
          <w:rFonts w:eastAsia="Times New Roman"/>
          <w:color w:val="000000" w:themeColor="text1"/>
        </w:rPr>
      </w:pPr>
      <w:hyperlink r:id="rId42" w:history="1">
        <w:r w:rsidRPr="00B96799">
          <w:rPr>
            <w:rFonts w:ascii="Calibri" w:eastAsia="Times New Roman" w:hAnsi="Calibri" w:cs="Calibri"/>
            <w:color w:val="0563C1"/>
            <w:u w:val="single"/>
          </w:rPr>
          <w:t>HB2320</w:t>
        </w:r>
      </w:hyperlink>
      <w:r>
        <w:rPr>
          <w:rFonts w:ascii="Calibri" w:eastAsia="Times New Roman" w:hAnsi="Calibri" w:cs="Calibri"/>
          <w:color w:val="0563C1"/>
        </w:rPr>
        <w:tab/>
      </w:r>
      <w:r w:rsidRPr="006C4718">
        <w:rPr>
          <w:rFonts w:eastAsia="Times New Roman"/>
          <w:color w:val="000000" w:themeColor="text1"/>
        </w:rPr>
        <w:t>A</w:t>
      </w:r>
      <w:r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Gillette, John </w:t>
      </w:r>
    </w:p>
    <w:p w:rsidR="006C4718" w:rsidRPr="00882387" w:rsidRDefault="006C4718" w:rsidP="006C4718">
      <w:pPr>
        <w:pStyle w:val="BodyText"/>
        <w:spacing w:before="2"/>
        <w:ind w:left="480"/>
        <w:rPr>
          <w:sz w:val="22"/>
          <w:szCs w:val="22"/>
        </w:rPr>
      </w:pPr>
      <w:r w:rsidRPr="00882387">
        <w:rPr>
          <w:color w:val="FF0000"/>
          <w:sz w:val="22"/>
          <w:szCs w:val="22"/>
        </w:rPr>
        <w:t>2025-01-15</w:t>
      </w:r>
      <w:r w:rsidRPr="00882387">
        <w:rPr>
          <w:color w:val="FF0000"/>
          <w:sz w:val="22"/>
          <w:szCs w:val="22"/>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6C4718" w:rsidP="006C4718">
      <w:pPr>
        <w:widowControl/>
        <w:autoSpaceDE/>
        <w:autoSpaceDN/>
        <w:ind w:firstLine="480"/>
        <w:rPr>
          <w:rFonts w:eastAsia="Times New Roman"/>
          <w:color w:val="000000" w:themeColor="text1"/>
        </w:rPr>
      </w:pPr>
      <w:hyperlink r:id="rId43" w:history="1">
        <w:r w:rsidRPr="006C4718">
          <w:rPr>
            <w:rFonts w:ascii="Calibri" w:eastAsia="Times New Roman" w:hAnsi="Calibri" w:cs="Calibri"/>
            <w:color w:val="0563C1"/>
            <w:u w:val="single"/>
          </w:rPr>
          <w:t>HB2336</w:t>
        </w:r>
      </w:hyperlink>
      <w:r>
        <w:rPr>
          <w:rFonts w:ascii="Calibri" w:eastAsia="Times New Roman" w:hAnsi="Calibri" w:cs="Calibri"/>
          <w:color w:val="0563C1"/>
        </w:rPr>
        <w:tab/>
      </w:r>
      <w:r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6C4718" w:rsidRDefault="00AF63EE" w:rsidP="00AF63EE">
      <w:pPr>
        <w:widowControl/>
        <w:autoSpaceDE/>
        <w:autoSpaceDN/>
        <w:ind w:firstLine="480"/>
        <w:rPr>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r>
        <w:rPr>
          <w:rFonts w:eastAsia="Times New Roman"/>
          <w:b/>
          <w:color w:val="000000" w:themeColor="text1"/>
        </w:rPr>
        <w:t>Peshlakai, Mae</w:t>
      </w:r>
    </w:p>
    <w:p w:rsidR="006C4718" w:rsidRPr="00882387" w:rsidRDefault="006C4718" w:rsidP="006C4718">
      <w:pPr>
        <w:pStyle w:val="BodyText"/>
        <w:spacing w:before="2"/>
        <w:ind w:left="480"/>
        <w:rPr>
          <w:sz w:val="22"/>
          <w:szCs w:val="22"/>
        </w:rPr>
      </w:pPr>
      <w:r w:rsidRPr="00882387">
        <w:rPr>
          <w:color w:val="FF0000"/>
          <w:sz w:val="22"/>
          <w:szCs w:val="22"/>
        </w:rPr>
        <w:t>2025-01-15</w:t>
      </w:r>
      <w:r w:rsidRPr="00882387">
        <w:rPr>
          <w:color w:val="FF0000"/>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6C4718" w:rsidP="006C4718">
      <w:pPr>
        <w:widowControl/>
        <w:autoSpaceDE/>
        <w:autoSpaceDN/>
        <w:ind w:firstLine="480"/>
        <w:rPr>
          <w:rFonts w:eastAsia="Times New Roman"/>
          <w:color w:val="000000" w:themeColor="text1"/>
        </w:rPr>
      </w:pPr>
      <w:hyperlink r:id="rId44" w:history="1">
        <w:r w:rsidRPr="006C4718">
          <w:rPr>
            <w:rFonts w:ascii="Calibri" w:eastAsia="Times New Roman" w:hAnsi="Calibri" w:cs="Calibri"/>
            <w:color w:val="0563C1"/>
            <w:u w:val="single"/>
          </w:rPr>
          <w:t>HB2393</w:t>
        </w:r>
      </w:hyperlink>
      <w:r>
        <w:rPr>
          <w:rFonts w:ascii="Calibri" w:eastAsia="Times New Roman" w:hAnsi="Calibri" w:cs="Calibri"/>
          <w:color w:val="0563C1"/>
        </w:rPr>
        <w:tab/>
      </w:r>
      <w:r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F63EE" w:rsidRDefault="006C4718" w:rsidP="006C4718">
      <w:pPr>
        <w:widowControl/>
        <w:autoSpaceDE/>
        <w:autoSpaceDN/>
        <w:ind w:firstLine="480"/>
        <w:rPr>
          <w:rFonts w:eastAsia="Times New Roman"/>
          <w:b/>
          <w:color w:val="000000" w:themeColor="text1"/>
        </w:rPr>
      </w:pPr>
      <w:r w:rsidRPr="006C4718">
        <w:rPr>
          <w:b/>
          <w:color w:val="000000" w:themeColor="text1"/>
        </w:rPr>
        <w:t>Primary Sponsor</w:t>
      </w:r>
      <w:r w:rsidRPr="00AF63EE">
        <w:rPr>
          <w:b/>
          <w:color w:val="000000" w:themeColor="text1"/>
        </w:rPr>
        <w:t xml:space="preserve">: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6C4718" w:rsidRPr="00882387" w:rsidRDefault="006C4718" w:rsidP="006C4718">
      <w:pPr>
        <w:pStyle w:val="BodyText"/>
        <w:spacing w:before="2"/>
        <w:ind w:left="480"/>
        <w:rPr>
          <w:sz w:val="22"/>
          <w:szCs w:val="22"/>
        </w:rPr>
      </w:pPr>
      <w:r w:rsidRPr="00882387">
        <w:rPr>
          <w:color w:val="FF0000"/>
          <w:sz w:val="22"/>
          <w:szCs w:val="22"/>
        </w:rPr>
        <w:t>2025</w:t>
      </w:r>
      <w:r>
        <w:rPr>
          <w:color w:val="FF0000"/>
          <w:sz w:val="22"/>
          <w:szCs w:val="22"/>
        </w:rPr>
        <w:t>-01-16</w:t>
      </w:r>
      <w:r w:rsidRPr="00882387">
        <w:rPr>
          <w:color w:val="FF0000"/>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6C4718" w:rsidP="006C4718">
      <w:pPr>
        <w:widowControl/>
        <w:autoSpaceDE/>
        <w:autoSpaceDN/>
        <w:ind w:firstLine="480"/>
        <w:rPr>
          <w:rFonts w:eastAsia="Times New Roman"/>
          <w:color w:val="000000" w:themeColor="text1"/>
        </w:rPr>
      </w:pPr>
      <w:hyperlink r:id="rId45" w:history="1">
        <w:r w:rsidRPr="006C4718">
          <w:rPr>
            <w:rFonts w:ascii="Calibri" w:eastAsia="Times New Roman" w:hAnsi="Calibri" w:cs="Calibri"/>
            <w:color w:val="0563C1"/>
            <w:u w:val="single"/>
          </w:rPr>
          <w:t>HB2406</w:t>
        </w:r>
      </w:hyperlink>
      <w:r>
        <w:rPr>
          <w:rFonts w:ascii="Calibri" w:eastAsia="Times New Roman" w:hAnsi="Calibri" w:cs="Calibri"/>
          <w:color w:val="000000" w:themeColor="text1"/>
        </w:rPr>
        <w:tab/>
      </w:r>
      <w:r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6C4718" w:rsidRPr="007F21F3" w:rsidRDefault="006C4718" w:rsidP="006C4718">
      <w:pPr>
        <w:widowControl/>
        <w:autoSpaceDE/>
        <w:autoSpaceDN/>
        <w:ind w:firstLine="480"/>
        <w:rPr>
          <w:color w:val="FF0000"/>
        </w:rPr>
      </w:pPr>
      <w:r>
        <w:rPr>
          <w:color w:val="FF0000"/>
        </w:rPr>
        <w:t>2025-01-16</w:t>
      </w:r>
      <w:r w:rsidRPr="007F21F3">
        <w:rPr>
          <w:color w:val="FF0000"/>
        </w:rPr>
        <w:tab/>
        <w:t xml:space="preserve">House – </w:t>
      </w:r>
      <w:r>
        <w:rPr>
          <w:color w:val="FF0000"/>
        </w:rPr>
        <w:t>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C2799C" w:rsidP="00C2799C">
      <w:pPr>
        <w:widowControl/>
        <w:autoSpaceDE/>
        <w:autoSpaceDN/>
        <w:ind w:firstLine="480"/>
        <w:rPr>
          <w:rFonts w:eastAsia="Times New Roman"/>
          <w:color w:val="000000" w:themeColor="text1"/>
        </w:rPr>
      </w:pPr>
      <w:hyperlink r:id="rId46" w:history="1">
        <w:r w:rsidRPr="00C2799C">
          <w:rPr>
            <w:rFonts w:ascii="Calibri" w:eastAsia="Times New Roman" w:hAnsi="Calibri" w:cs="Calibri"/>
            <w:color w:val="0563C1"/>
            <w:u w:val="single"/>
          </w:rPr>
          <w:t>HB2506</w:t>
        </w:r>
      </w:hyperlink>
      <w:r>
        <w:rPr>
          <w:rFonts w:ascii="Calibri" w:eastAsia="Times New Roman" w:hAnsi="Calibri" w:cs="Calibri"/>
          <w:color w:val="0563C1"/>
        </w:rPr>
        <w:tab/>
      </w:r>
      <w:r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6C4718" w:rsidRPr="00882387" w:rsidRDefault="006C4718" w:rsidP="006C4718">
      <w:pPr>
        <w:pStyle w:val="BodyText"/>
        <w:spacing w:before="2"/>
        <w:ind w:left="480"/>
        <w:rPr>
          <w:sz w:val="22"/>
          <w:szCs w:val="22"/>
        </w:rPr>
      </w:pPr>
      <w:r w:rsidRPr="00882387">
        <w:rPr>
          <w:color w:val="FF0000"/>
          <w:sz w:val="22"/>
          <w:szCs w:val="22"/>
        </w:rPr>
        <w:t>2025</w:t>
      </w:r>
      <w:r w:rsidR="00C2799C">
        <w:rPr>
          <w:color w:val="FF0000"/>
          <w:sz w:val="22"/>
          <w:szCs w:val="22"/>
        </w:rPr>
        <w:t>-01-16</w:t>
      </w:r>
      <w:r w:rsidRPr="00882387">
        <w:rPr>
          <w:color w:val="FF0000"/>
          <w:sz w:val="22"/>
          <w:szCs w:val="22"/>
        </w:rPr>
        <w:tab/>
        <w:t>House - Introduced</w:t>
      </w:r>
    </w:p>
    <w:p w:rsidR="006C4718" w:rsidRPr="00D16474" w:rsidRDefault="006C4718" w:rsidP="006C4718">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C2799C" w:rsidRPr="00C2799C" w:rsidRDefault="00C2799C" w:rsidP="00C2799C">
      <w:pPr>
        <w:widowControl/>
        <w:autoSpaceDE/>
        <w:autoSpaceDN/>
        <w:ind w:firstLine="480"/>
        <w:rPr>
          <w:rFonts w:eastAsia="Times New Roman"/>
          <w:color w:val="000000" w:themeColor="text1"/>
        </w:rPr>
      </w:pPr>
      <w:hyperlink r:id="rId47" w:history="1">
        <w:r w:rsidRPr="00C2799C">
          <w:rPr>
            <w:rFonts w:ascii="Calibri" w:eastAsia="Times New Roman" w:hAnsi="Calibri" w:cs="Calibri"/>
            <w:color w:val="0563C1"/>
            <w:u w:val="single"/>
          </w:rPr>
          <w:t>HB2538</w:t>
        </w:r>
      </w:hyperlink>
      <w:r>
        <w:rPr>
          <w:rFonts w:ascii="Calibri" w:eastAsia="Times New Roman" w:hAnsi="Calibri" w:cs="Calibri"/>
          <w:color w:val="0563C1"/>
        </w:rPr>
        <w:tab/>
      </w:r>
      <w:r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C2799C" w:rsidRPr="00882387" w:rsidRDefault="00C2799C" w:rsidP="00C2799C">
      <w:pPr>
        <w:pStyle w:val="BodyText"/>
        <w:spacing w:before="2"/>
        <w:ind w:left="480"/>
        <w:rPr>
          <w:sz w:val="22"/>
          <w:szCs w:val="22"/>
        </w:rPr>
      </w:pPr>
      <w:r w:rsidRPr="00882387">
        <w:rPr>
          <w:color w:val="FF0000"/>
          <w:sz w:val="22"/>
          <w:szCs w:val="22"/>
        </w:rPr>
        <w:t>2025</w:t>
      </w:r>
      <w:r>
        <w:rPr>
          <w:color w:val="FF0000"/>
          <w:sz w:val="22"/>
          <w:szCs w:val="22"/>
        </w:rPr>
        <w:t>-01-16</w:t>
      </w:r>
      <w:r w:rsidRPr="00882387">
        <w:rPr>
          <w:color w:val="FF0000"/>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592358" w:rsidP="00592358">
      <w:pPr>
        <w:widowControl/>
        <w:autoSpaceDE/>
        <w:autoSpaceDN/>
        <w:ind w:firstLine="480"/>
        <w:rPr>
          <w:rFonts w:eastAsia="Times New Roman"/>
          <w:color w:val="000000" w:themeColor="text1"/>
        </w:rPr>
      </w:pPr>
      <w:hyperlink r:id="rId48" w:history="1">
        <w:r w:rsidRPr="00592358">
          <w:rPr>
            <w:rFonts w:ascii="Calibri" w:eastAsia="Times New Roman" w:hAnsi="Calibri" w:cs="Calibri"/>
            <w:color w:val="0563C1"/>
            <w:u w:val="single"/>
          </w:rPr>
          <w:t>HB2612</w:t>
        </w:r>
      </w:hyperlink>
      <w:r>
        <w:rPr>
          <w:rFonts w:ascii="Calibri" w:eastAsia="Times New Roman" w:hAnsi="Calibri" w:cs="Calibri"/>
          <w:color w:val="0563C1"/>
        </w:rPr>
        <w:tab/>
      </w:r>
      <w:r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592358" w:rsidRDefault="00592358" w:rsidP="00592358">
      <w:pPr>
        <w:widowControl/>
        <w:autoSpaceDE/>
        <w:autoSpaceDN/>
        <w:ind w:firstLine="480"/>
        <w:rPr>
          <w:rFonts w:eastAsia="Times New Roman"/>
          <w:b/>
          <w:color w:val="000000" w:themeColor="text1"/>
        </w:rPr>
      </w:pPr>
      <w:r w:rsidRPr="00592358">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592358" w:rsidRPr="007F21F3" w:rsidRDefault="00592358" w:rsidP="00592358">
      <w:pPr>
        <w:widowControl/>
        <w:autoSpaceDE/>
        <w:autoSpaceDN/>
        <w:ind w:firstLine="480"/>
        <w:rPr>
          <w:color w:val="FF0000"/>
        </w:rPr>
      </w:pPr>
      <w:r>
        <w:rPr>
          <w:color w:val="FF0000"/>
        </w:rPr>
        <w:t>2025-01-15</w:t>
      </w:r>
      <w:r w:rsidRPr="007F21F3">
        <w:rPr>
          <w:color w:val="FF0000"/>
        </w:rPr>
        <w:tab/>
        <w:t xml:space="preserve">House – </w:t>
      </w:r>
      <w:r w:rsidR="00804EE9">
        <w:rPr>
          <w:color w:val="FF0000"/>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592358" w:rsidP="00592358">
      <w:pPr>
        <w:widowControl/>
        <w:autoSpaceDE/>
        <w:autoSpaceDN/>
        <w:ind w:firstLine="480"/>
        <w:rPr>
          <w:rFonts w:eastAsia="Times New Roman"/>
          <w:color w:val="000000" w:themeColor="text1"/>
        </w:rPr>
      </w:pPr>
      <w:hyperlink r:id="rId49" w:history="1">
        <w:r w:rsidRPr="00592358">
          <w:rPr>
            <w:rFonts w:ascii="Calibri" w:eastAsia="Times New Roman" w:hAnsi="Calibri" w:cs="Calibri"/>
            <w:color w:val="0563C1"/>
            <w:u w:val="single"/>
          </w:rPr>
          <w:t>HB2617</w:t>
        </w:r>
      </w:hyperlink>
      <w:r>
        <w:rPr>
          <w:rFonts w:ascii="Calibri" w:eastAsia="Times New Roman" w:hAnsi="Calibri" w:cs="Calibri"/>
          <w:color w:val="0563C1"/>
        </w:rPr>
        <w:tab/>
      </w:r>
      <w:r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w:t>
      </w:r>
      <w:bookmarkStart w:id="0" w:name="_GoBack"/>
      <w:bookmarkEnd w:id="0"/>
      <w:r w:rsidRPr="00592358">
        <w:rPr>
          <w:rFonts w:eastAsia="Times New Roman"/>
          <w:color w:val="000000" w:themeColor="text1"/>
        </w:rPr>
        <w:t>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882387" w:rsidRDefault="00592358" w:rsidP="00592358">
      <w:pPr>
        <w:pStyle w:val="BodyText"/>
        <w:spacing w:before="2"/>
        <w:ind w:left="480"/>
        <w:rPr>
          <w:b/>
          <w:sz w:val="22"/>
          <w:szCs w:val="22"/>
        </w:rPr>
      </w:pPr>
      <w:r w:rsidRPr="00882387">
        <w:rPr>
          <w:b/>
          <w:sz w:val="22"/>
          <w:szCs w:val="22"/>
        </w:rPr>
        <w:t xml:space="preserve">Primary Sponsor: </w:t>
      </w:r>
      <w:r>
        <w:rPr>
          <w:b/>
          <w:sz w:val="22"/>
          <w:szCs w:val="22"/>
        </w:rPr>
        <w:t>Marquez, Aaron</w:t>
      </w:r>
      <w:r w:rsidRPr="00882387">
        <w:rPr>
          <w:b/>
          <w:sz w:val="22"/>
          <w:szCs w:val="22"/>
        </w:rPr>
        <w:t xml:space="preserve"> </w:t>
      </w:r>
    </w:p>
    <w:p w:rsidR="00592358" w:rsidRPr="00882387" w:rsidRDefault="00592358" w:rsidP="00592358">
      <w:pPr>
        <w:pStyle w:val="BodyText"/>
        <w:spacing w:before="2"/>
        <w:ind w:left="480"/>
        <w:rPr>
          <w:sz w:val="22"/>
          <w:szCs w:val="22"/>
        </w:rPr>
      </w:pPr>
      <w:r w:rsidRPr="00882387">
        <w:rPr>
          <w:color w:val="FF0000"/>
          <w:sz w:val="22"/>
          <w:szCs w:val="22"/>
        </w:rPr>
        <w:t>2025</w:t>
      </w:r>
      <w:r>
        <w:rPr>
          <w:color w:val="FF0000"/>
          <w:sz w:val="22"/>
          <w:szCs w:val="22"/>
        </w:rPr>
        <w:t>-01-16</w:t>
      </w:r>
      <w:r w:rsidRPr="00882387">
        <w:rPr>
          <w:color w:val="FF0000"/>
          <w:sz w:val="22"/>
          <w:szCs w:val="22"/>
        </w:rPr>
        <w:tab/>
        <w:t>House - Introduced</w:t>
      </w:r>
    </w:p>
    <w:p w:rsidR="00592358" w:rsidRDefault="00592358" w:rsidP="00592358">
      <w:pPr>
        <w:widowControl/>
        <w:autoSpaceDE/>
        <w:autoSpaceDN/>
        <w:ind w:firstLine="480"/>
      </w:pPr>
    </w:p>
    <w:p w:rsidR="00C2799C" w:rsidRDefault="00C2799C" w:rsidP="006D657C">
      <w:pPr>
        <w:widowControl/>
        <w:autoSpaceDE/>
        <w:autoSpaceDN/>
        <w:ind w:firstLine="480"/>
      </w:pPr>
    </w:p>
    <w:p w:rsidR="00C2799C" w:rsidRDefault="00C2799C" w:rsidP="006D657C">
      <w:pPr>
        <w:widowControl/>
        <w:autoSpaceDE/>
        <w:autoSpaceDN/>
        <w:ind w:firstLine="480"/>
      </w:pPr>
    </w:p>
    <w:p w:rsidR="00C2799C" w:rsidRDefault="00C2799C" w:rsidP="006D657C">
      <w:pPr>
        <w:widowControl/>
        <w:autoSpaceDE/>
        <w:autoSpaceDN/>
        <w:ind w:firstLine="480"/>
      </w:pPr>
    </w:p>
    <w:p w:rsidR="009B13D7" w:rsidRPr="00D877FE" w:rsidRDefault="009B13D7" w:rsidP="00027EF9">
      <w:pPr>
        <w:pStyle w:val="BodyText"/>
        <w:spacing w:before="2"/>
        <w:ind w:left="480"/>
      </w:pPr>
    </w:p>
    <w:sectPr w:rsidR="009B13D7" w:rsidRPr="00D877FE" w:rsidSect="00E4172D">
      <w:headerReference w:type="default" r:id="rId50"/>
      <w:footerReference w:type="default" r:id="rId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A9" w:rsidRDefault="00E44CA9" w:rsidP="00C81F69">
      <w:r>
        <w:separator/>
      </w:r>
    </w:p>
  </w:endnote>
  <w:endnote w:type="continuationSeparator" w:id="0">
    <w:p w:rsidR="00E44CA9" w:rsidRDefault="00E44CA9"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C1" w:rsidRDefault="00676EC1"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w:t>
    </w:r>
    <w:r w:rsidR="00431AAF">
      <w:rPr>
        <w:rFonts w:ascii="Calibri" w:hAnsi="Calibri"/>
      </w:rPr>
      <w:t>5</w:t>
    </w:r>
    <w:r>
      <w:rPr>
        <w:rFonts w:ascii="Calibri" w:hAnsi="Calibri"/>
      </w:rPr>
      <w:t>.</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676EC1" w:rsidRDefault="00676EC1">
    <w:pPr>
      <w:pStyle w:val="Footer"/>
    </w:pPr>
  </w:p>
  <w:p w:rsidR="00676EC1" w:rsidRDefault="0067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A9" w:rsidRDefault="00E44CA9" w:rsidP="00C81F69">
      <w:r>
        <w:separator/>
      </w:r>
    </w:p>
  </w:footnote>
  <w:footnote w:type="continuationSeparator" w:id="0">
    <w:p w:rsidR="00E44CA9" w:rsidRDefault="00E44CA9"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C1" w:rsidRDefault="00676EC1"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676EC1" w:rsidRDefault="00676EC1"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676EC1" w:rsidRDefault="00676EC1"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676EC1" w:rsidRDefault="00676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27EF9"/>
    <w:rsid w:val="00030616"/>
    <w:rsid w:val="000379BC"/>
    <w:rsid w:val="00041A5D"/>
    <w:rsid w:val="00045040"/>
    <w:rsid w:val="00057773"/>
    <w:rsid w:val="00076CBB"/>
    <w:rsid w:val="00096FF8"/>
    <w:rsid w:val="000A65B5"/>
    <w:rsid w:val="000A75B8"/>
    <w:rsid w:val="000C2015"/>
    <w:rsid w:val="000D3E47"/>
    <w:rsid w:val="00100CBE"/>
    <w:rsid w:val="00140D46"/>
    <w:rsid w:val="001443AC"/>
    <w:rsid w:val="00162C26"/>
    <w:rsid w:val="00167474"/>
    <w:rsid w:val="001729E2"/>
    <w:rsid w:val="00173C26"/>
    <w:rsid w:val="00174996"/>
    <w:rsid w:val="00175220"/>
    <w:rsid w:val="00195336"/>
    <w:rsid w:val="00195811"/>
    <w:rsid w:val="001A26E6"/>
    <w:rsid w:val="001A7EAE"/>
    <w:rsid w:val="001E7DC9"/>
    <w:rsid w:val="001F700D"/>
    <w:rsid w:val="00215DE9"/>
    <w:rsid w:val="00217C4A"/>
    <w:rsid w:val="00251A7F"/>
    <w:rsid w:val="00273630"/>
    <w:rsid w:val="00290482"/>
    <w:rsid w:val="002A7641"/>
    <w:rsid w:val="002B2A10"/>
    <w:rsid w:val="002C7029"/>
    <w:rsid w:val="002D6818"/>
    <w:rsid w:val="002E4FC1"/>
    <w:rsid w:val="002E73F1"/>
    <w:rsid w:val="002F2D8D"/>
    <w:rsid w:val="00331F6E"/>
    <w:rsid w:val="003438E2"/>
    <w:rsid w:val="0035075B"/>
    <w:rsid w:val="00366C69"/>
    <w:rsid w:val="003744E3"/>
    <w:rsid w:val="00386B30"/>
    <w:rsid w:val="00395AE2"/>
    <w:rsid w:val="003B4ECB"/>
    <w:rsid w:val="003C2BD1"/>
    <w:rsid w:val="003C31A0"/>
    <w:rsid w:val="003D2C5B"/>
    <w:rsid w:val="003D3F4A"/>
    <w:rsid w:val="003F0311"/>
    <w:rsid w:val="003F1DC5"/>
    <w:rsid w:val="00403675"/>
    <w:rsid w:val="00426ABF"/>
    <w:rsid w:val="00431AAF"/>
    <w:rsid w:val="00444A6C"/>
    <w:rsid w:val="00487CCB"/>
    <w:rsid w:val="00490C61"/>
    <w:rsid w:val="0049625D"/>
    <w:rsid w:val="004C59D8"/>
    <w:rsid w:val="004D6352"/>
    <w:rsid w:val="00505369"/>
    <w:rsid w:val="0051011D"/>
    <w:rsid w:val="00512E8C"/>
    <w:rsid w:val="00514786"/>
    <w:rsid w:val="005308F7"/>
    <w:rsid w:val="00552CED"/>
    <w:rsid w:val="00577F05"/>
    <w:rsid w:val="00592358"/>
    <w:rsid w:val="00595264"/>
    <w:rsid w:val="005B141D"/>
    <w:rsid w:val="005E1F71"/>
    <w:rsid w:val="00623F35"/>
    <w:rsid w:val="006436F0"/>
    <w:rsid w:val="006614AE"/>
    <w:rsid w:val="006716A0"/>
    <w:rsid w:val="00674E5A"/>
    <w:rsid w:val="00676EC1"/>
    <w:rsid w:val="006915AD"/>
    <w:rsid w:val="006C4718"/>
    <w:rsid w:val="006D657C"/>
    <w:rsid w:val="006F2E96"/>
    <w:rsid w:val="006F40D0"/>
    <w:rsid w:val="00710F85"/>
    <w:rsid w:val="00712237"/>
    <w:rsid w:val="00716AA9"/>
    <w:rsid w:val="00743CA5"/>
    <w:rsid w:val="00794798"/>
    <w:rsid w:val="007A22EE"/>
    <w:rsid w:val="007B3DD9"/>
    <w:rsid w:val="007E237B"/>
    <w:rsid w:val="007E7F43"/>
    <w:rsid w:val="007F21F3"/>
    <w:rsid w:val="00804EE9"/>
    <w:rsid w:val="00842CB6"/>
    <w:rsid w:val="00845FC3"/>
    <w:rsid w:val="00846AF2"/>
    <w:rsid w:val="00857909"/>
    <w:rsid w:val="00860B2C"/>
    <w:rsid w:val="008725EB"/>
    <w:rsid w:val="00882387"/>
    <w:rsid w:val="008A73D2"/>
    <w:rsid w:val="008A7AB3"/>
    <w:rsid w:val="008B5F17"/>
    <w:rsid w:val="008C6193"/>
    <w:rsid w:val="008E0E57"/>
    <w:rsid w:val="009029DF"/>
    <w:rsid w:val="0090692F"/>
    <w:rsid w:val="00910D71"/>
    <w:rsid w:val="009169FA"/>
    <w:rsid w:val="00941357"/>
    <w:rsid w:val="00946FA6"/>
    <w:rsid w:val="00952F99"/>
    <w:rsid w:val="00956A0C"/>
    <w:rsid w:val="00957E79"/>
    <w:rsid w:val="009B13D7"/>
    <w:rsid w:val="009E79A7"/>
    <w:rsid w:val="00A17A32"/>
    <w:rsid w:val="00A20699"/>
    <w:rsid w:val="00A25322"/>
    <w:rsid w:val="00A37C39"/>
    <w:rsid w:val="00A46BDA"/>
    <w:rsid w:val="00A55D02"/>
    <w:rsid w:val="00A57FAD"/>
    <w:rsid w:val="00A633A7"/>
    <w:rsid w:val="00A66148"/>
    <w:rsid w:val="00A915F2"/>
    <w:rsid w:val="00AB10DF"/>
    <w:rsid w:val="00AC7E82"/>
    <w:rsid w:val="00AF63EE"/>
    <w:rsid w:val="00B45694"/>
    <w:rsid w:val="00B543ED"/>
    <w:rsid w:val="00B5447F"/>
    <w:rsid w:val="00B56625"/>
    <w:rsid w:val="00B824B0"/>
    <w:rsid w:val="00B900DC"/>
    <w:rsid w:val="00B9670C"/>
    <w:rsid w:val="00B96799"/>
    <w:rsid w:val="00B96F7B"/>
    <w:rsid w:val="00BD4B09"/>
    <w:rsid w:val="00BE23CE"/>
    <w:rsid w:val="00BE6D71"/>
    <w:rsid w:val="00C02BCE"/>
    <w:rsid w:val="00C05BFB"/>
    <w:rsid w:val="00C05C23"/>
    <w:rsid w:val="00C24834"/>
    <w:rsid w:val="00C2799C"/>
    <w:rsid w:val="00C3549E"/>
    <w:rsid w:val="00C36E70"/>
    <w:rsid w:val="00C552F0"/>
    <w:rsid w:val="00C6137C"/>
    <w:rsid w:val="00C62773"/>
    <w:rsid w:val="00C727A4"/>
    <w:rsid w:val="00C81F69"/>
    <w:rsid w:val="00C9746A"/>
    <w:rsid w:val="00CB0AA0"/>
    <w:rsid w:val="00CD40CC"/>
    <w:rsid w:val="00CF5E4C"/>
    <w:rsid w:val="00CF7EC3"/>
    <w:rsid w:val="00D007EF"/>
    <w:rsid w:val="00D07145"/>
    <w:rsid w:val="00D16474"/>
    <w:rsid w:val="00D303DE"/>
    <w:rsid w:val="00D4722E"/>
    <w:rsid w:val="00D877FE"/>
    <w:rsid w:val="00D978A1"/>
    <w:rsid w:val="00DD1722"/>
    <w:rsid w:val="00DE1DFC"/>
    <w:rsid w:val="00E006B9"/>
    <w:rsid w:val="00E02401"/>
    <w:rsid w:val="00E22B4D"/>
    <w:rsid w:val="00E4172D"/>
    <w:rsid w:val="00E42149"/>
    <w:rsid w:val="00E44CA9"/>
    <w:rsid w:val="00E45D2C"/>
    <w:rsid w:val="00E46052"/>
    <w:rsid w:val="00E7101A"/>
    <w:rsid w:val="00E82099"/>
    <w:rsid w:val="00E957B6"/>
    <w:rsid w:val="00EA45CE"/>
    <w:rsid w:val="00EC1FB2"/>
    <w:rsid w:val="00EC2C2F"/>
    <w:rsid w:val="00ED2BF1"/>
    <w:rsid w:val="00EF0F5D"/>
    <w:rsid w:val="00F30F79"/>
    <w:rsid w:val="00F51E71"/>
    <w:rsid w:val="00F56717"/>
    <w:rsid w:val="00F77A10"/>
    <w:rsid w:val="00FB2813"/>
    <w:rsid w:val="00FB4B67"/>
    <w:rsid w:val="00FC6E07"/>
    <w:rsid w:val="00FD1CE9"/>
    <w:rsid w:val="00FD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DCC7"/>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1638" TargetMode="External"/><Relationship Id="rId39" Type="http://schemas.openxmlformats.org/officeDocument/2006/relationships/hyperlink" Target="https://apps.azleg.gov/BillStatus/BillOverview/81990" TargetMode="External"/><Relationship Id="rId3" Type="http://schemas.openxmlformats.org/officeDocument/2006/relationships/settings" Target="settings.xm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1829" TargetMode="External"/><Relationship Id="rId42" Type="http://schemas.openxmlformats.org/officeDocument/2006/relationships/hyperlink" Target="https://apps.azleg.gov/BillStatus/BillOverview/82091" TargetMode="External"/><Relationship Id="rId47" Type="http://schemas.openxmlformats.org/officeDocument/2006/relationships/hyperlink" Target="https://apps.azleg.gov/BillStatus/BillOverview/82360" TargetMode="External"/><Relationship Id="rId50" Type="http://schemas.openxmlformats.org/officeDocument/2006/relationships/header" Target="header1.xml"/><Relationship Id="rId7" Type="http://schemas.openxmlformats.org/officeDocument/2006/relationships/hyperlink" Target="http://www.azleg.gov/bills/" TargetMode="Externa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203" TargetMode="External"/><Relationship Id="rId33" Type="http://schemas.openxmlformats.org/officeDocument/2006/relationships/hyperlink" Target="https://apps.azleg.gov/BillStatus/BillOverview/81806" TargetMode="External"/><Relationship Id="rId38" Type="http://schemas.openxmlformats.org/officeDocument/2006/relationships/hyperlink" Target="https://apps.azleg.gov/BillStatus/BillOverview/81961" TargetMode="External"/><Relationship Id="rId46" Type="http://schemas.openxmlformats.org/officeDocument/2006/relationships/hyperlink" Target="https://apps.azleg.gov/BillStatus/BillOverview/82307"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0" Type="http://schemas.openxmlformats.org/officeDocument/2006/relationships/hyperlink" Target="https://apps.azleg.gov/BillStatus/BillOverview/82336" TargetMode="External"/><Relationship Id="rId29" Type="http://schemas.openxmlformats.org/officeDocument/2006/relationships/hyperlink" Target="https://apps.azleg.gov/BillStatus/BillOverview/81693" TargetMode="External"/><Relationship Id="rId41" Type="http://schemas.openxmlformats.org/officeDocument/2006/relationships/hyperlink" Target="https://apps.azleg.gov/BillStatus/BillOverview/820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169" TargetMode="External"/><Relationship Id="rId32" Type="http://schemas.openxmlformats.org/officeDocument/2006/relationships/hyperlink" Target="https://apps.azleg.gov/BillStatus/BillOverview/81804" TargetMode="External"/><Relationship Id="rId37" Type="http://schemas.openxmlformats.org/officeDocument/2006/relationships/hyperlink" Target="https://apps.azleg.gov/BillStatus/BillOverview/81892" TargetMode="External"/><Relationship Id="rId40" Type="http://schemas.openxmlformats.org/officeDocument/2006/relationships/hyperlink" Target="https://apps.azleg.gov/BillStatus/BillOverview/82021" TargetMode="External"/><Relationship Id="rId45" Type="http://schemas.openxmlformats.org/officeDocument/2006/relationships/hyperlink" Target="https://apps.azleg.gov/BillStatus/BillOverview/82195"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1848" TargetMode="External"/><Relationship Id="rId28" Type="http://schemas.openxmlformats.org/officeDocument/2006/relationships/hyperlink" Target="https://apps.azleg.gov/BillStatus/BillOverview/81687" TargetMode="External"/><Relationship Id="rId36" Type="http://schemas.openxmlformats.org/officeDocument/2006/relationships/hyperlink" Target="https://apps.azleg.gov/BillStatus/BillOverview/81845" TargetMode="External"/><Relationship Id="rId49" Type="http://schemas.openxmlformats.org/officeDocument/2006/relationships/hyperlink" Target="https://apps.azleg.gov/BillStatus/BillOverview/82442"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218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042" TargetMode="External"/><Relationship Id="rId27" Type="http://schemas.openxmlformats.org/officeDocument/2006/relationships/hyperlink" Target="https://apps.azleg.gov/BillStatus/BillOverview/81643" TargetMode="External"/><Relationship Id="rId30" Type="http://schemas.openxmlformats.org/officeDocument/2006/relationships/hyperlink" Target="https://apps.azleg.gov/BillStatus/BillOverview/81722" TargetMode="External"/><Relationship Id="rId35" Type="http://schemas.openxmlformats.org/officeDocument/2006/relationships/hyperlink" Target="https://apps.azleg.gov/BillStatus/BillOverview/81842" TargetMode="External"/><Relationship Id="rId43" Type="http://schemas.openxmlformats.org/officeDocument/2006/relationships/hyperlink" Target="https://apps.azleg.gov/BillStatus/BillOverview/82107" TargetMode="External"/><Relationship Id="rId48" Type="http://schemas.openxmlformats.org/officeDocument/2006/relationships/hyperlink" Target="https://apps.azleg.gov/BillStatus/BillOverview/82437" TargetMode="External"/><Relationship Id="rId8" Type="http://schemas.openxmlformats.org/officeDocument/2006/relationships/hyperlink" Target="https://apps.azleg.gov/BillStatus/AgendaSearch"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0508-96F1-4D50-8ED1-0315AC82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9</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31</cp:revision>
  <cp:lastPrinted>2024-04-07T23:07:00Z</cp:lastPrinted>
  <dcterms:created xsi:type="dcterms:W3CDTF">2025-01-18T00:50:00Z</dcterms:created>
  <dcterms:modified xsi:type="dcterms:W3CDTF">2025-01-18T17:20:00Z</dcterms:modified>
</cp:coreProperties>
</file>